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4A7" w:rsidRDefault="00A734A7" w:rsidP="005C2F9E">
      <w:pPr>
        <w:pStyle w:val="Title"/>
        <w:spacing w:before="240" w:after="1200"/>
      </w:pPr>
      <w:r>
        <w:rPr>
          <w:noProof/>
        </w:rPr>
        <w:drawing>
          <wp:inline distT="0" distB="0" distL="0" distR="0" wp14:anchorId="6826095A" wp14:editId="1641C114">
            <wp:extent cx="2876550" cy="609600"/>
            <wp:effectExtent l="0" t="0" r="0" b="0"/>
            <wp:docPr id="6" name="Picture 6" descr="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550" cy="609600"/>
                    </a:xfrm>
                    <a:prstGeom prst="rect">
                      <a:avLst/>
                    </a:prstGeom>
                    <a:noFill/>
                    <a:ln>
                      <a:noFill/>
                    </a:ln>
                  </pic:spPr>
                </pic:pic>
              </a:graphicData>
            </a:graphic>
          </wp:inline>
        </w:drawing>
      </w:r>
    </w:p>
    <w:p w:rsidR="00A734A7" w:rsidRPr="00A734A7" w:rsidRDefault="00A734A7" w:rsidP="00A734A7">
      <w:pPr>
        <w:pStyle w:val="Title"/>
      </w:pPr>
      <w:r w:rsidRPr="00A734A7">
        <w:t xml:space="preserve">Report to the Senate Finance and </w:t>
      </w:r>
      <w:r w:rsidR="002D3148">
        <w:br/>
      </w:r>
      <w:r w:rsidRPr="00A734A7">
        <w:t>Public Administratio</w:t>
      </w:r>
      <w:r>
        <w:t>n Legislation Committee on PBO a</w:t>
      </w:r>
      <w:r w:rsidRPr="00A734A7">
        <w:t>ctivity</w:t>
      </w:r>
    </w:p>
    <w:p w:rsidR="005C2F9E" w:rsidRDefault="00AD6448" w:rsidP="004C2CCC">
      <w:pPr>
        <w:pStyle w:val="Subtitle"/>
      </w:pPr>
      <w:r>
        <w:t xml:space="preserve">17 </w:t>
      </w:r>
      <w:r w:rsidR="004772D9">
        <w:t>May</w:t>
      </w:r>
      <w:r w:rsidR="00072581">
        <w:t xml:space="preserve"> </w:t>
      </w:r>
      <w:r w:rsidR="00072581" w:rsidRPr="00A734A7">
        <w:t>201</w:t>
      </w:r>
      <w:r w:rsidR="00072581">
        <w:t>8</w:t>
      </w:r>
      <w:r w:rsidR="005C2F9E">
        <w:br w:type="page"/>
      </w:r>
    </w:p>
    <w:p w:rsidR="007D65A5" w:rsidRPr="00A55569" w:rsidRDefault="00A734A7" w:rsidP="00E60E7C">
      <w:pPr>
        <w:pStyle w:val="PBOheading1"/>
      </w:pPr>
      <w:r>
        <w:lastRenderedPageBreak/>
        <w:t>Overview</w:t>
      </w:r>
    </w:p>
    <w:p w:rsidR="007C2C9C" w:rsidRDefault="003D28C1" w:rsidP="007C2C9C">
      <w:pPr>
        <w:pStyle w:val="PBOtext"/>
      </w:pPr>
      <w:r>
        <w:t>This activity report provides an update on PBO activities since the last report to the Committee (</w:t>
      </w:r>
      <w:r w:rsidR="004772D9">
        <w:t>21 February 2018</w:t>
      </w:r>
      <w:r>
        <w:t>).</w:t>
      </w:r>
      <w:r w:rsidDel="003D28C1">
        <w:t xml:space="preserve"> </w:t>
      </w:r>
    </w:p>
    <w:p w:rsidR="003C4528" w:rsidRDefault="009031F8" w:rsidP="003C4528">
      <w:pPr>
        <w:pStyle w:val="PBOheading2"/>
      </w:pPr>
      <w:r>
        <w:t>Independent review of the PBO</w:t>
      </w:r>
    </w:p>
    <w:p w:rsidR="00A103B6" w:rsidRDefault="00775ACE" w:rsidP="000464ED">
      <w:pPr>
        <w:rPr>
          <w:lang w:eastAsia="en-AU"/>
        </w:rPr>
      </w:pPr>
      <w:r>
        <w:rPr>
          <w:lang w:eastAsia="en-AU"/>
        </w:rPr>
        <w:t xml:space="preserve">The independent review into the operations of the PBO commissioned by the </w:t>
      </w:r>
      <w:r w:rsidR="00CD42B9">
        <w:rPr>
          <w:lang w:eastAsia="en-AU"/>
        </w:rPr>
        <w:t xml:space="preserve">Joint Committee of Public Accounts and Audit (JCPAA) </w:t>
      </w:r>
      <w:r>
        <w:rPr>
          <w:lang w:eastAsia="en-AU"/>
        </w:rPr>
        <w:t xml:space="preserve">was </w:t>
      </w:r>
      <w:r w:rsidR="00096B79" w:rsidRPr="002852A0">
        <w:rPr>
          <w:lang w:eastAsia="en-AU"/>
        </w:rPr>
        <w:t>c</w:t>
      </w:r>
      <w:r w:rsidR="00096B79">
        <w:rPr>
          <w:lang w:eastAsia="en-AU"/>
        </w:rPr>
        <w:t>ompleted in March 2017 and made 16 recommendations</w:t>
      </w:r>
      <w:r>
        <w:rPr>
          <w:lang w:eastAsia="en-AU"/>
        </w:rPr>
        <w:t>.</w:t>
      </w:r>
      <w:r w:rsidR="00096B79">
        <w:rPr>
          <w:lang w:eastAsia="en-AU"/>
        </w:rPr>
        <w:t xml:space="preserve">  </w:t>
      </w:r>
      <w:r w:rsidR="0039656D">
        <w:rPr>
          <w:lang w:eastAsia="en-AU"/>
        </w:rPr>
        <w:t>Th</w:t>
      </w:r>
      <w:r w:rsidR="00680106">
        <w:rPr>
          <w:lang w:eastAsia="en-AU"/>
        </w:rPr>
        <w:t xml:space="preserve">e PBO </w:t>
      </w:r>
      <w:r w:rsidR="00844E74">
        <w:rPr>
          <w:lang w:eastAsia="en-AU"/>
        </w:rPr>
        <w:t xml:space="preserve">has implemented </w:t>
      </w:r>
      <w:r w:rsidR="00680106">
        <w:rPr>
          <w:lang w:eastAsia="en-AU"/>
        </w:rPr>
        <w:t>actions to address these recommendations</w:t>
      </w:r>
      <w:r w:rsidR="00844E74">
        <w:rPr>
          <w:lang w:eastAsia="en-AU"/>
        </w:rPr>
        <w:t xml:space="preserve"> and on 30 April 2018 we provided a comprehensive summary to the JCPAA on how we implemented these actions</w:t>
      </w:r>
      <w:r w:rsidR="00096B79">
        <w:rPr>
          <w:lang w:eastAsia="en-AU"/>
        </w:rPr>
        <w:t>.</w:t>
      </w:r>
      <w:r w:rsidR="00873744">
        <w:rPr>
          <w:lang w:eastAsia="en-AU"/>
        </w:rPr>
        <w:t xml:space="preserve">  </w:t>
      </w:r>
      <w:r w:rsidR="003369EE">
        <w:rPr>
          <w:lang w:eastAsia="en-AU"/>
        </w:rPr>
        <w:t xml:space="preserve">The significant </w:t>
      </w:r>
      <w:r w:rsidR="00D06137">
        <w:rPr>
          <w:lang w:eastAsia="en-AU"/>
        </w:rPr>
        <w:t xml:space="preserve">actions progressed since the last activity </w:t>
      </w:r>
      <w:proofErr w:type="gramStart"/>
      <w:r w:rsidR="00D06137">
        <w:rPr>
          <w:lang w:eastAsia="en-AU"/>
        </w:rPr>
        <w:t>report are</w:t>
      </w:r>
      <w:proofErr w:type="gramEnd"/>
      <w:r w:rsidR="00144FEC">
        <w:rPr>
          <w:lang w:eastAsia="en-AU"/>
        </w:rPr>
        <w:t xml:space="preserve"> that we have</w:t>
      </w:r>
      <w:r w:rsidR="00D06137">
        <w:rPr>
          <w:lang w:eastAsia="en-AU"/>
        </w:rPr>
        <w:t>:</w:t>
      </w:r>
    </w:p>
    <w:p w:rsidR="00844E74" w:rsidRDefault="00844E74" w:rsidP="00D06137">
      <w:pPr>
        <w:pStyle w:val="ListParagraph"/>
        <w:numPr>
          <w:ilvl w:val="0"/>
          <w:numId w:val="41"/>
        </w:numPr>
        <w:rPr>
          <w:lang w:eastAsia="en-AU"/>
        </w:rPr>
      </w:pPr>
      <w:r>
        <w:rPr>
          <w:lang w:eastAsia="en-AU"/>
        </w:rPr>
        <w:t>scheduled our first annual gathering of the panel of expert advis</w:t>
      </w:r>
      <w:r w:rsidR="008B5C7F">
        <w:rPr>
          <w:lang w:eastAsia="en-AU"/>
        </w:rPr>
        <w:t>o</w:t>
      </w:r>
      <w:r>
        <w:rPr>
          <w:lang w:eastAsia="en-AU"/>
        </w:rPr>
        <w:t>rs for 5 June 2018</w:t>
      </w:r>
    </w:p>
    <w:p w:rsidR="00844E74" w:rsidRDefault="00844E74" w:rsidP="00D06137">
      <w:pPr>
        <w:pStyle w:val="ListParagraph"/>
        <w:numPr>
          <w:ilvl w:val="0"/>
          <w:numId w:val="41"/>
        </w:numPr>
        <w:rPr>
          <w:lang w:eastAsia="en-AU"/>
        </w:rPr>
      </w:pPr>
      <w:r>
        <w:rPr>
          <w:lang w:eastAsia="en-AU"/>
        </w:rPr>
        <w:t>established an ongoing process for the formal evaluation of a selection of completed</w:t>
      </w:r>
      <w:r w:rsidR="0077272B">
        <w:rPr>
          <w:lang w:eastAsia="en-AU"/>
        </w:rPr>
        <w:t xml:space="preserve"> and published </w:t>
      </w:r>
      <w:r>
        <w:rPr>
          <w:lang w:eastAsia="en-AU"/>
        </w:rPr>
        <w:t>costings</w:t>
      </w:r>
    </w:p>
    <w:p w:rsidR="00844E74" w:rsidRDefault="00844E74" w:rsidP="00D06137">
      <w:pPr>
        <w:pStyle w:val="ListParagraph"/>
        <w:numPr>
          <w:ilvl w:val="0"/>
          <w:numId w:val="41"/>
        </w:numPr>
        <w:rPr>
          <w:lang w:eastAsia="en-AU"/>
        </w:rPr>
      </w:pPr>
      <w:r>
        <w:rPr>
          <w:lang w:eastAsia="en-AU"/>
        </w:rPr>
        <w:t>published guidance to Senators and Members on how we will give effect to allowing minor parties to opt in to the PBO’s post-election report of election commitments</w:t>
      </w:r>
    </w:p>
    <w:p w:rsidR="00844E74" w:rsidRDefault="00844E74" w:rsidP="00D06137">
      <w:pPr>
        <w:pStyle w:val="ListParagraph"/>
        <w:numPr>
          <w:ilvl w:val="0"/>
          <w:numId w:val="41"/>
        </w:numPr>
        <w:rPr>
          <w:lang w:eastAsia="en-AU"/>
        </w:rPr>
      </w:pPr>
      <w:proofErr w:type="gramStart"/>
      <w:r>
        <w:rPr>
          <w:lang w:eastAsia="en-AU"/>
        </w:rPr>
        <w:t>concluded</w:t>
      </w:r>
      <w:proofErr w:type="gramEnd"/>
      <w:r>
        <w:rPr>
          <w:lang w:eastAsia="en-AU"/>
        </w:rPr>
        <w:t>, and analysed results from, the recent stakeholder survey.</w:t>
      </w:r>
    </w:p>
    <w:p w:rsidR="00844E74" w:rsidRDefault="00844E74" w:rsidP="00E60E7C">
      <w:pPr>
        <w:pStyle w:val="PBOheading2"/>
      </w:pPr>
      <w:r>
        <w:t>Feedback from stakeholders</w:t>
      </w:r>
    </w:p>
    <w:p w:rsidR="00844E74" w:rsidRDefault="00FE22AA" w:rsidP="00844E74">
      <w:r>
        <w:t xml:space="preserve">The PBO conducted a stakeholder survey during February and March 2018.  The survey </w:t>
      </w:r>
      <w:r w:rsidR="006640E0">
        <w:t xml:space="preserve">responses indicated that the PBO’s performance across a range of metrics had improved since the previous survey in 2015.  Overall, there continues to be very high levels of satisfaction with the work and the role of the PBO.  </w:t>
      </w:r>
      <w:r>
        <w:t xml:space="preserve">A summary of </w:t>
      </w:r>
      <w:r w:rsidR="00144FEC">
        <w:t xml:space="preserve">the </w:t>
      </w:r>
      <w:r w:rsidR="00D31C89">
        <w:t xml:space="preserve">survey results </w:t>
      </w:r>
      <w:r w:rsidR="004B3D13">
        <w:t>is</w:t>
      </w:r>
      <w:r>
        <w:t xml:space="preserve"> at Attachment A.</w:t>
      </w:r>
    </w:p>
    <w:p w:rsidR="00FE22AA" w:rsidRDefault="00FE22AA" w:rsidP="00844E74">
      <w:r>
        <w:t>In addition to this survey, we are looking at ways to gather more regular feedback through a range of channels to enhance reporting on the PBO’s performance as part of the annual performance statement in our annual report.</w:t>
      </w:r>
    </w:p>
    <w:p w:rsidR="007D65A5" w:rsidRDefault="007D65A5" w:rsidP="00E60E7C">
      <w:pPr>
        <w:pStyle w:val="PBOheading2"/>
      </w:pPr>
      <w:r w:rsidRPr="00A55569">
        <w:t xml:space="preserve">Requests from </w:t>
      </w:r>
      <w:r w:rsidR="00B23802">
        <w:t>p</w:t>
      </w:r>
      <w:r w:rsidRPr="00A55569">
        <w:t>arliamentarians</w:t>
      </w:r>
      <w:r w:rsidR="00B23802">
        <w:t xml:space="preserve"> and parliamentary parties</w:t>
      </w:r>
    </w:p>
    <w:p w:rsidR="0012673C" w:rsidRPr="00703057" w:rsidRDefault="007C2C9C" w:rsidP="00E60E7C">
      <w:pPr>
        <w:pStyle w:val="PBOtext"/>
      </w:pPr>
      <w:r w:rsidRPr="00703057">
        <w:t xml:space="preserve">In the </w:t>
      </w:r>
      <w:r w:rsidR="00341201">
        <w:t>nine months to 31 March 2018</w:t>
      </w:r>
      <w:r w:rsidR="00467845" w:rsidRPr="00703057">
        <w:t xml:space="preserve">, the PBO </w:t>
      </w:r>
      <w:r w:rsidR="00183893" w:rsidRPr="00703057">
        <w:t xml:space="preserve">received </w:t>
      </w:r>
      <w:r w:rsidR="00F161F2">
        <w:t>1,329</w:t>
      </w:r>
      <w:r w:rsidR="009F604C" w:rsidRPr="00703057">
        <w:t xml:space="preserve"> </w:t>
      </w:r>
      <w:r w:rsidR="00183893" w:rsidRPr="00703057">
        <w:t>requests from parliamentarians for</w:t>
      </w:r>
      <w:r w:rsidR="00680106">
        <w:t xml:space="preserve"> policy</w:t>
      </w:r>
      <w:r w:rsidR="00183893" w:rsidRPr="00703057">
        <w:t xml:space="preserve"> costings and analys</w:t>
      </w:r>
      <w:r w:rsidR="00680106">
        <w:t>es</w:t>
      </w:r>
      <w:r w:rsidR="00183893" w:rsidRPr="00703057">
        <w:t xml:space="preserve"> </w:t>
      </w:r>
      <w:r w:rsidR="00180FF3">
        <w:t xml:space="preserve">and </w:t>
      </w:r>
      <w:r w:rsidR="00467845" w:rsidRPr="00703057">
        <w:t xml:space="preserve">responded to </w:t>
      </w:r>
      <w:r w:rsidR="00F161F2">
        <w:t>1,089</w:t>
      </w:r>
      <w:r w:rsidR="009F604C" w:rsidRPr="00703057">
        <w:t xml:space="preserve"> </w:t>
      </w:r>
      <w:r w:rsidR="00467845" w:rsidRPr="00703057">
        <w:t>requests</w:t>
      </w:r>
      <w:r w:rsidR="0048170C" w:rsidRPr="00703057">
        <w:t xml:space="preserve"> </w:t>
      </w:r>
      <w:r w:rsidR="00467845" w:rsidRPr="00703057">
        <w:t xml:space="preserve">at an average turnaround time of </w:t>
      </w:r>
      <w:r w:rsidR="00F161F2">
        <w:t>20</w:t>
      </w:r>
      <w:r w:rsidR="006640E0">
        <w:t> </w:t>
      </w:r>
      <w:r w:rsidR="00467845" w:rsidRPr="00703057">
        <w:t xml:space="preserve">business days and a median time to completion of </w:t>
      </w:r>
      <w:r w:rsidR="00F161F2">
        <w:t>13</w:t>
      </w:r>
      <w:r w:rsidR="00511CB4" w:rsidRPr="00703057">
        <w:t xml:space="preserve"> </w:t>
      </w:r>
      <w:r w:rsidR="00467845" w:rsidRPr="00703057">
        <w:t>business days (refer to Table</w:t>
      </w:r>
      <w:r w:rsidR="00B55D14" w:rsidRPr="00703057">
        <w:t> </w:t>
      </w:r>
      <w:r w:rsidR="00467845" w:rsidRPr="00703057">
        <w:t>1).</w:t>
      </w:r>
    </w:p>
    <w:p w:rsidR="00101951" w:rsidRDefault="00002912" w:rsidP="00E60E7C">
      <w:pPr>
        <w:pStyle w:val="PBOtext"/>
      </w:pPr>
      <w:r>
        <w:t xml:space="preserve">The PBO makes a number of information requests to Commonwealth </w:t>
      </w:r>
      <w:r w:rsidR="00A8196E">
        <w:t>agencies to</w:t>
      </w:r>
      <w:r>
        <w:t xml:space="preserve"> support its responses to parliamentarians (and its research program).  </w:t>
      </w:r>
      <w:r w:rsidR="00152D5E" w:rsidRPr="00703057">
        <w:t>In the</w:t>
      </w:r>
      <w:r>
        <w:t xml:space="preserve"> </w:t>
      </w:r>
      <w:r w:rsidR="00341201">
        <w:t>nine months to 31 March 2018</w:t>
      </w:r>
      <w:r w:rsidR="00152D5E" w:rsidRPr="00703057">
        <w:t xml:space="preserve">, the PBO received </w:t>
      </w:r>
      <w:r w:rsidR="00F161F2">
        <w:t>265</w:t>
      </w:r>
      <w:r w:rsidR="009F604C" w:rsidRPr="00703057">
        <w:t xml:space="preserve"> </w:t>
      </w:r>
      <w:r w:rsidR="007E6158" w:rsidRPr="00703057">
        <w:t xml:space="preserve">responses </w:t>
      </w:r>
      <w:r w:rsidR="009818CB" w:rsidRPr="00703057">
        <w:t xml:space="preserve">from Commonwealth agencies </w:t>
      </w:r>
      <w:r w:rsidR="007E6158" w:rsidRPr="00703057">
        <w:t xml:space="preserve">to information requests at an average turnaround time of </w:t>
      </w:r>
      <w:r w:rsidR="006640E0">
        <w:t>10</w:t>
      </w:r>
      <w:r w:rsidR="009F604C" w:rsidRPr="00703057">
        <w:t xml:space="preserve"> </w:t>
      </w:r>
      <w:r w:rsidR="007E6158" w:rsidRPr="00703057">
        <w:t>business days</w:t>
      </w:r>
      <w:r>
        <w:t>.  R</w:t>
      </w:r>
      <w:r w:rsidR="00511CB4" w:rsidRPr="00703057">
        <w:t xml:space="preserve">equests </w:t>
      </w:r>
      <w:r>
        <w:t>were provided</w:t>
      </w:r>
      <w:r w:rsidR="00511CB4" w:rsidRPr="00703057">
        <w:t xml:space="preserve">, on average, </w:t>
      </w:r>
      <w:r w:rsidR="00511320">
        <w:t>one</w:t>
      </w:r>
      <w:r w:rsidR="00F161F2" w:rsidRPr="00703057">
        <w:t xml:space="preserve"> </w:t>
      </w:r>
      <w:r w:rsidR="00511CB4" w:rsidRPr="00703057">
        <w:t xml:space="preserve">business day ahead of </w:t>
      </w:r>
      <w:r w:rsidR="00183893" w:rsidRPr="00703057">
        <w:t>the</w:t>
      </w:r>
      <w:r w:rsidR="00511CB4" w:rsidRPr="00703057">
        <w:t xml:space="preserve"> </w:t>
      </w:r>
      <w:r>
        <w:t>due date</w:t>
      </w:r>
      <w:r w:rsidRPr="00703057">
        <w:t xml:space="preserve"> </w:t>
      </w:r>
      <w:r w:rsidR="007E6158" w:rsidRPr="00703057">
        <w:t>(refer to Table 2).</w:t>
      </w:r>
      <w:r w:rsidR="00F45847" w:rsidRPr="00703057">
        <w:t xml:space="preserve">  Table 3 contains details of </w:t>
      </w:r>
      <w:r w:rsidR="0013683A" w:rsidRPr="00703057">
        <w:t>the</w:t>
      </w:r>
      <w:r w:rsidR="00F45847" w:rsidRPr="00703057">
        <w:t xml:space="preserve"> responsiveness </w:t>
      </w:r>
      <w:r w:rsidR="0013683A" w:rsidRPr="00703057">
        <w:t xml:space="preserve">of </w:t>
      </w:r>
      <w:r w:rsidR="00F45847" w:rsidRPr="00703057">
        <w:t xml:space="preserve">Commonwealth agencies </w:t>
      </w:r>
      <w:r w:rsidR="0013683A" w:rsidRPr="00703057">
        <w:t>to information requests during</w:t>
      </w:r>
      <w:r w:rsidR="00F45847" w:rsidRPr="00703057">
        <w:t xml:space="preserve"> </w:t>
      </w:r>
      <w:r w:rsidR="00967214" w:rsidRPr="00703057">
        <w:t>this period</w:t>
      </w:r>
      <w:r w:rsidR="00F45847" w:rsidRPr="00703057">
        <w:t>.</w:t>
      </w:r>
    </w:p>
    <w:p w:rsidR="00FA1577" w:rsidRDefault="00FA1577" w:rsidP="00E60E7C">
      <w:pPr>
        <w:pStyle w:val="PBOtext"/>
      </w:pPr>
      <w:r>
        <w:t xml:space="preserve">In the </w:t>
      </w:r>
      <w:r w:rsidR="00341201">
        <w:t>nine months to 31 March 2018</w:t>
      </w:r>
      <w:r>
        <w:t xml:space="preserve">, </w:t>
      </w:r>
      <w:r w:rsidR="007F4770">
        <w:t xml:space="preserve">18 </w:t>
      </w:r>
      <w:r>
        <w:t xml:space="preserve">policy announcements </w:t>
      </w:r>
      <w:r w:rsidR="008B3208">
        <w:t xml:space="preserve">that were </w:t>
      </w:r>
      <w:r>
        <w:t xml:space="preserve">made by parliamentarians or parliamentary parties </w:t>
      </w:r>
      <w:r w:rsidR="00557D8D">
        <w:t xml:space="preserve">included </w:t>
      </w:r>
      <w:r>
        <w:t>reference</w:t>
      </w:r>
      <w:r w:rsidR="00557D8D">
        <w:t>s</w:t>
      </w:r>
      <w:r>
        <w:t xml:space="preserve"> to PBO </w:t>
      </w:r>
      <w:r w:rsidR="00002912">
        <w:t xml:space="preserve">policy </w:t>
      </w:r>
      <w:r>
        <w:t xml:space="preserve">costings.  </w:t>
      </w:r>
      <w:r w:rsidR="006A5AE2" w:rsidRPr="007F4770">
        <w:t>Fiv</w:t>
      </w:r>
      <w:r w:rsidRPr="007F4770">
        <w:t>e</w:t>
      </w:r>
      <w:r>
        <w:t xml:space="preserve"> of these costings were subsequently publicly released (refer to Table 4).</w:t>
      </w:r>
    </w:p>
    <w:p w:rsidR="006640E0" w:rsidRDefault="006640E0">
      <w:pPr>
        <w:rPr>
          <w:rFonts w:asciiTheme="majorHAnsi" w:eastAsiaTheme="majorEastAsia" w:hAnsiTheme="majorHAnsi" w:cstheme="majorBidi"/>
          <w:bCs/>
          <w:color w:val="264A76"/>
          <w:sz w:val="30"/>
          <w:szCs w:val="26"/>
          <w:lang w:eastAsia="en-AU"/>
        </w:rPr>
      </w:pPr>
      <w:r>
        <w:br w:type="page"/>
      </w:r>
    </w:p>
    <w:p w:rsidR="007D65A5" w:rsidRDefault="002852A0" w:rsidP="00E60E7C">
      <w:pPr>
        <w:pStyle w:val="PBOheading2"/>
      </w:pPr>
      <w:r>
        <w:lastRenderedPageBreak/>
        <w:t>R</w:t>
      </w:r>
      <w:r w:rsidR="00986D03" w:rsidRPr="0048170C">
        <w:t xml:space="preserve">esearch </w:t>
      </w:r>
      <w:r w:rsidR="007D65A5" w:rsidRPr="0048170C">
        <w:t>program</w:t>
      </w:r>
    </w:p>
    <w:p w:rsidR="007C2C9C" w:rsidRDefault="00F6617B" w:rsidP="007C2C9C">
      <w:pPr>
        <w:pStyle w:val="PBOtext"/>
      </w:pPr>
      <w:r>
        <w:t>The PBO’s</w:t>
      </w:r>
      <w:r w:rsidR="007C2C9C">
        <w:t xml:space="preserve"> research program </w:t>
      </w:r>
      <w:r w:rsidR="00002912">
        <w:t xml:space="preserve">is </w:t>
      </w:r>
      <w:r w:rsidR="007C2C9C">
        <w:t xml:space="preserve">set out in </w:t>
      </w:r>
      <w:r>
        <w:t xml:space="preserve">the </w:t>
      </w:r>
      <w:r w:rsidR="00002912">
        <w:t xml:space="preserve">2017–18 </w:t>
      </w:r>
      <w:r w:rsidR="007C2C9C">
        <w:t xml:space="preserve">work </w:t>
      </w:r>
      <w:proofErr w:type="gramStart"/>
      <w:r w:rsidR="007C2C9C">
        <w:t>plan</w:t>
      </w:r>
      <w:proofErr w:type="gramEnd"/>
      <w:r w:rsidR="007C2C9C">
        <w:t xml:space="preserve"> that was published on 22</w:t>
      </w:r>
      <w:r w:rsidR="00FA1577">
        <w:t> </w:t>
      </w:r>
      <w:r w:rsidR="007C2C9C">
        <w:t>September</w:t>
      </w:r>
      <w:r w:rsidR="00FA1577">
        <w:t> </w:t>
      </w:r>
      <w:r w:rsidR="007C2C9C">
        <w:t>2017.</w:t>
      </w:r>
    </w:p>
    <w:p w:rsidR="00341201" w:rsidRDefault="00341201" w:rsidP="007C2C9C">
      <w:pPr>
        <w:pStyle w:val="PBOtext"/>
      </w:pPr>
      <w:r>
        <w:t>On 9 May</w:t>
      </w:r>
      <w:r w:rsidR="00511320">
        <w:t xml:space="preserve"> 2018</w:t>
      </w:r>
      <w:r>
        <w:t xml:space="preserve">, the PBO released </w:t>
      </w:r>
      <w:r w:rsidR="008B5C7F">
        <w:t xml:space="preserve">a graphical snapshot of the key </w:t>
      </w:r>
      <w:r w:rsidR="00B917AB">
        <w:t xml:space="preserve">information </w:t>
      </w:r>
      <w:r w:rsidR="008B5C7F">
        <w:t xml:space="preserve">in </w:t>
      </w:r>
      <w:r w:rsidR="004B3D13">
        <w:t>the</w:t>
      </w:r>
      <w:r w:rsidR="00511320">
        <w:t xml:space="preserve"> </w:t>
      </w:r>
      <w:r w:rsidR="008B5C7F">
        <w:t>2018</w:t>
      </w:r>
      <w:r w:rsidR="00511320">
        <w:noBreakHyphen/>
      </w:r>
      <w:r w:rsidR="008B5C7F">
        <w:t>19</w:t>
      </w:r>
      <w:r w:rsidR="00511320">
        <w:t> </w:t>
      </w:r>
      <w:r w:rsidR="008B5C7F">
        <w:t>Budget</w:t>
      </w:r>
      <w:r>
        <w:t xml:space="preserve">.  </w:t>
      </w:r>
      <w:r w:rsidR="00B917AB">
        <w:t>The snapshot presents key budget information in an accessible form with the aim of improving public understanding of budget issues.</w:t>
      </w:r>
      <w:r w:rsidR="004B3D13">
        <w:t xml:space="preserve"> </w:t>
      </w:r>
      <w:r w:rsidR="00B917AB">
        <w:t xml:space="preserve"> </w:t>
      </w:r>
      <w:r w:rsidR="004B3D13">
        <w:t>By the end of May, w</w:t>
      </w:r>
      <w:r w:rsidR="008B5C7F">
        <w:t>e will release our 2018</w:t>
      </w:r>
      <w:r w:rsidR="00511320">
        <w:noBreakHyphen/>
      </w:r>
      <w:r w:rsidR="008B5C7F">
        <w:t>19</w:t>
      </w:r>
      <w:r w:rsidR="00511320">
        <w:t> </w:t>
      </w:r>
      <w:r w:rsidR="008B5C7F">
        <w:t xml:space="preserve">Budget chart pack which will explain the main changes to the budget in more detail.  Further, we plan to release our </w:t>
      </w:r>
      <w:r>
        <w:t xml:space="preserve">2018–19 Budget medium-term projections </w:t>
      </w:r>
      <w:r w:rsidR="008B5C7F">
        <w:t xml:space="preserve">report </w:t>
      </w:r>
      <w:r w:rsidR="00144FEC">
        <w:t xml:space="preserve">in </w:t>
      </w:r>
      <w:r w:rsidR="008B5C7F">
        <w:t>July</w:t>
      </w:r>
      <w:r w:rsidR="00511320">
        <w:t xml:space="preserve"> 2018</w:t>
      </w:r>
      <w:r w:rsidR="008B5C7F">
        <w:t xml:space="preserve">.  </w:t>
      </w:r>
    </w:p>
    <w:p w:rsidR="004B3D13" w:rsidRDefault="00972D26" w:rsidP="007C2C9C">
      <w:pPr>
        <w:pStyle w:val="PBOtext"/>
      </w:pPr>
      <w:r>
        <w:t xml:space="preserve">Reports on the trends affecting the sustainability of the tax base and the impact of Australia’s ageing population on the budget are </w:t>
      </w:r>
      <w:r w:rsidR="00144FEC">
        <w:t xml:space="preserve">in train and are </w:t>
      </w:r>
      <w:r>
        <w:t xml:space="preserve">expected to be published in </w:t>
      </w:r>
      <w:r w:rsidR="00144FEC">
        <w:t>the next quarter.</w:t>
      </w:r>
    </w:p>
    <w:p w:rsidR="00571865" w:rsidRDefault="00571865" w:rsidP="00E60E7C">
      <w:pPr>
        <w:pStyle w:val="PBOheading2"/>
        <w:spacing w:after="120"/>
      </w:pPr>
      <w:r>
        <w:t>External engagement</w:t>
      </w:r>
    </w:p>
    <w:p w:rsidR="00DF20F4" w:rsidRDefault="00DF20F4" w:rsidP="006C72F4">
      <w:pPr>
        <w:rPr>
          <w:lang w:eastAsia="en-AU"/>
        </w:rPr>
      </w:pPr>
      <w:r>
        <w:rPr>
          <w:lang w:eastAsia="en-AU"/>
        </w:rPr>
        <w:t>Following the establishment of the panel of expert advis</w:t>
      </w:r>
      <w:r w:rsidR="004B3D13">
        <w:rPr>
          <w:lang w:eastAsia="en-AU"/>
        </w:rPr>
        <w:t>o</w:t>
      </w:r>
      <w:r>
        <w:rPr>
          <w:lang w:eastAsia="en-AU"/>
        </w:rPr>
        <w:t>rs, the PBO continues to seek input from the panel to assist with the development and evaluation of its work program and methodologies.</w:t>
      </w:r>
    </w:p>
    <w:p w:rsidR="008B2C4E" w:rsidRDefault="008B2C4E" w:rsidP="006C72F4">
      <w:pPr>
        <w:rPr>
          <w:lang w:eastAsia="en-AU"/>
        </w:rPr>
      </w:pPr>
      <w:r>
        <w:rPr>
          <w:lang w:eastAsia="en-AU"/>
        </w:rPr>
        <w:t>The PBO has had consultations with the Victorian PBO on various aspects of establishment and operations</w:t>
      </w:r>
      <w:r w:rsidR="007B28F9">
        <w:rPr>
          <w:lang w:eastAsia="en-AU"/>
        </w:rPr>
        <w:t xml:space="preserve"> and </w:t>
      </w:r>
      <w:r w:rsidR="00002912">
        <w:rPr>
          <w:lang w:eastAsia="en-AU"/>
        </w:rPr>
        <w:t>continues</w:t>
      </w:r>
      <w:r w:rsidR="007B28F9">
        <w:rPr>
          <w:lang w:eastAsia="en-AU"/>
        </w:rPr>
        <w:t xml:space="preserve"> to meet regularly with visiting international delegations to discuss the work and operation of the PBO</w:t>
      </w:r>
      <w:r>
        <w:rPr>
          <w:lang w:eastAsia="en-AU"/>
        </w:rPr>
        <w:t>.</w:t>
      </w:r>
    </w:p>
    <w:p w:rsidR="001D7790" w:rsidRDefault="001D7790" w:rsidP="006C72F4">
      <w:pPr>
        <w:rPr>
          <w:lang w:eastAsia="en-AU"/>
        </w:rPr>
      </w:pPr>
      <w:r>
        <w:rPr>
          <w:lang w:eastAsia="en-AU"/>
        </w:rPr>
        <w:t>The PBO continues to work with agencies</w:t>
      </w:r>
      <w:r w:rsidR="004B3D13">
        <w:rPr>
          <w:lang w:eastAsia="en-AU"/>
        </w:rPr>
        <w:t xml:space="preserve"> </w:t>
      </w:r>
      <w:r>
        <w:rPr>
          <w:lang w:eastAsia="en-AU"/>
        </w:rPr>
        <w:t>to arrange access to electronic data warehouses</w:t>
      </w:r>
      <w:r w:rsidR="004B3D13">
        <w:rPr>
          <w:lang w:eastAsia="en-AU"/>
        </w:rPr>
        <w:t>, where possible</w:t>
      </w:r>
      <w:r>
        <w:rPr>
          <w:lang w:eastAsia="en-AU"/>
        </w:rPr>
        <w:t xml:space="preserve">.  This ongoing access reduces the time it takes to respond to parliamentarian requests and reduces the ongoing burden on </w:t>
      </w:r>
      <w:r w:rsidR="00511320">
        <w:rPr>
          <w:lang w:eastAsia="en-AU"/>
        </w:rPr>
        <w:t>agencies</w:t>
      </w:r>
      <w:r>
        <w:rPr>
          <w:lang w:eastAsia="en-AU"/>
        </w:rPr>
        <w:t xml:space="preserve"> in responding to individual requests for information.</w:t>
      </w:r>
    </w:p>
    <w:p w:rsidR="007D65A5" w:rsidRPr="00A55569" w:rsidRDefault="007D65A5" w:rsidP="00E60E7C">
      <w:pPr>
        <w:pStyle w:val="PBOheading2"/>
        <w:spacing w:after="120"/>
      </w:pPr>
      <w:r w:rsidRPr="00DD2991">
        <w:t xml:space="preserve">PBO </w:t>
      </w:r>
      <w:r w:rsidR="00742FB7" w:rsidRPr="00DD2991">
        <w:t>s</w:t>
      </w:r>
      <w:r w:rsidRPr="00DD2991">
        <w:t>taffing</w:t>
      </w:r>
    </w:p>
    <w:p w:rsidR="00392BA4" w:rsidRDefault="007D65A5" w:rsidP="00E60E7C">
      <w:pPr>
        <w:pStyle w:val="PBOtext"/>
      </w:pPr>
      <w:r>
        <w:t>The PBO</w:t>
      </w:r>
      <w:r w:rsidR="00557D8D">
        <w:t xml:space="preserve"> is allocated a budget that supports</w:t>
      </w:r>
      <w:r w:rsidR="0013683A">
        <w:t xml:space="preserve"> </w:t>
      </w:r>
      <w:r w:rsidR="00583436">
        <w:t>around</w:t>
      </w:r>
      <w:r w:rsidR="00E401D9">
        <w:t xml:space="preserve"> 40 </w:t>
      </w:r>
      <w:r w:rsidR="00557D8D">
        <w:t>staff</w:t>
      </w:r>
      <w:r>
        <w:t xml:space="preserve"> and </w:t>
      </w:r>
      <w:r w:rsidR="0013683A">
        <w:t xml:space="preserve">receives additional funding every third year in the lead up to a general election to boost its staffing.  </w:t>
      </w:r>
      <w:r w:rsidR="00EE54F2">
        <w:t xml:space="preserve">At </w:t>
      </w:r>
      <w:r w:rsidR="00096B79">
        <w:t>3</w:t>
      </w:r>
      <w:r w:rsidR="00072581">
        <w:t xml:space="preserve">1 </w:t>
      </w:r>
      <w:r w:rsidR="000F73BD">
        <w:t>March 2018</w:t>
      </w:r>
      <w:r w:rsidR="00EE54F2">
        <w:t xml:space="preserve">, the PBO had </w:t>
      </w:r>
      <w:r w:rsidR="00F161F2" w:rsidRPr="00F161F2">
        <w:t>4</w:t>
      </w:r>
      <w:r w:rsidR="00AC198C">
        <w:t>3</w:t>
      </w:r>
      <w:r w:rsidR="00F161F2">
        <w:t> </w:t>
      </w:r>
      <w:r w:rsidR="00EE54F2">
        <w:t>staff</w:t>
      </w:r>
      <w:r w:rsidR="00AC198C">
        <w:t xml:space="preserve"> (including one person on secondment from another </w:t>
      </w:r>
      <w:r w:rsidR="00511320">
        <w:t xml:space="preserve">Commonwealth </w:t>
      </w:r>
      <w:r w:rsidR="00AC198C">
        <w:t>agency).</w:t>
      </w:r>
    </w:p>
    <w:p w:rsidR="00AC198C" w:rsidRDefault="00AC198C" w:rsidP="00E60E7C">
      <w:pPr>
        <w:pStyle w:val="PBOtext"/>
      </w:pPr>
      <w:r>
        <w:t xml:space="preserve">The PBO </w:t>
      </w:r>
      <w:r w:rsidR="00E2511A">
        <w:t>has established</w:t>
      </w:r>
      <w:r>
        <w:t xml:space="preserve"> secondment arrangements with some agencies.  These arrangements will build capability in the PBO and agencies, and expand the pool of potential candidates that the PBO can draw upon during election periods when surge capacity may be required.  Three secondments have been established in 2017–18.</w:t>
      </w:r>
    </w:p>
    <w:p w:rsidR="00AC198C" w:rsidRDefault="00AC198C" w:rsidP="00E60E7C">
      <w:pPr>
        <w:pStyle w:val="PBOtext"/>
      </w:pPr>
      <w:r>
        <w:t>The PBO is also continuing to participate in the Parliament of Australia graduate program.  Seven graduates are joining the PBO from a range of agencies during 2018, for periods of three to six months.</w:t>
      </w:r>
    </w:p>
    <w:p w:rsidR="00440916" w:rsidRPr="00626105" w:rsidRDefault="00440916" w:rsidP="00E60E7C">
      <w:pPr>
        <w:pStyle w:val="PBOtext"/>
      </w:pPr>
      <w:r w:rsidRPr="00626105">
        <w:br w:type="page"/>
      </w:r>
    </w:p>
    <w:p w:rsidR="00EE10A1" w:rsidRPr="008C72D3" w:rsidRDefault="005D002A" w:rsidP="00E60E7C">
      <w:pPr>
        <w:pStyle w:val="PBOheading1"/>
      </w:pPr>
      <w:r>
        <w:lastRenderedPageBreak/>
        <w:t>Requests from p</w:t>
      </w:r>
      <w:r w:rsidR="00EE10A1" w:rsidRPr="008C72D3">
        <w:t xml:space="preserve">arliamentarians </w:t>
      </w:r>
      <w:r w:rsidR="001244FE">
        <w:t xml:space="preserve">and parliamentary parties </w:t>
      </w:r>
      <w:r w:rsidR="00EE10A1" w:rsidRPr="008C72D3">
        <w:t>for costings</w:t>
      </w:r>
      <w:r w:rsidR="001244FE">
        <w:t xml:space="preserve"> and budget</w:t>
      </w:r>
      <w:r w:rsidR="00EE10A1" w:rsidRPr="008C72D3">
        <w:t xml:space="preserve"> analyses</w:t>
      </w:r>
    </w:p>
    <w:p w:rsidR="006008B9" w:rsidRPr="00BF637E" w:rsidRDefault="00150BBB" w:rsidP="00E60E7C">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D543A7">
        <w:rPr>
          <w:rFonts w:asciiTheme="minorHAnsi" w:eastAsiaTheme="minorHAnsi" w:hAnsiTheme="minorHAnsi" w:cstheme="minorBidi"/>
          <w:color w:val="1F497D" w:themeColor="text2"/>
          <w:spacing w:val="-4"/>
          <w:sz w:val="20"/>
          <w:lang w:eastAsia="en-US"/>
        </w:rPr>
        <w:t>Table 1</w:t>
      </w:r>
      <w:r w:rsidR="00A55569" w:rsidRPr="00D543A7">
        <w:rPr>
          <w:rFonts w:asciiTheme="minorHAnsi" w:eastAsiaTheme="minorHAnsi" w:hAnsiTheme="minorHAnsi" w:cstheme="minorBidi"/>
          <w:color w:val="1F497D" w:themeColor="text2"/>
          <w:spacing w:val="-4"/>
          <w:sz w:val="20"/>
          <w:lang w:eastAsia="en-US"/>
        </w:rPr>
        <w:t>:</w:t>
      </w:r>
      <w:r w:rsidRPr="00D543A7">
        <w:rPr>
          <w:rFonts w:asciiTheme="minorHAnsi" w:eastAsiaTheme="minorHAnsi" w:hAnsiTheme="minorHAnsi" w:cstheme="minorBidi"/>
          <w:color w:val="1F497D" w:themeColor="text2"/>
          <w:spacing w:val="-4"/>
          <w:sz w:val="20"/>
          <w:lang w:eastAsia="en-US"/>
        </w:rPr>
        <w:t xml:space="preserve"> </w:t>
      </w:r>
      <w:r w:rsidR="007E6158">
        <w:rPr>
          <w:rFonts w:asciiTheme="minorHAnsi" w:eastAsiaTheme="minorHAnsi" w:hAnsiTheme="minorHAnsi" w:cstheme="minorBidi"/>
          <w:color w:val="1F497D" w:themeColor="text2"/>
          <w:spacing w:val="-4"/>
          <w:sz w:val="20"/>
          <w:lang w:eastAsia="en-US"/>
        </w:rPr>
        <w:t xml:space="preserve">Costing and budget analysis requests from parliamentarians and parliamentary parties to </w:t>
      </w:r>
      <w:r w:rsidR="0056304F">
        <w:rPr>
          <w:rFonts w:asciiTheme="minorHAnsi" w:eastAsiaTheme="minorHAnsi" w:hAnsiTheme="minorHAnsi" w:cstheme="minorBidi"/>
          <w:color w:val="1F497D" w:themeColor="text2"/>
          <w:spacing w:val="-4"/>
          <w:sz w:val="20"/>
          <w:lang w:eastAsia="en-US"/>
        </w:rPr>
        <w:br/>
      </w:r>
      <w:r w:rsidR="00096B79">
        <w:rPr>
          <w:rFonts w:asciiTheme="minorHAnsi" w:eastAsiaTheme="minorHAnsi" w:hAnsiTheme="minorHAnsi" w:cstheme="minorBidi"/>
          <w:color w:val="1F497D" w:themeColor="text2"/>
          <w:spacing w:val="-4"/>
          <w:sz w:val="20"/>
          <w:lang w:eastAsia="en-US"/>
        </w:rPr>
        <w:t>3</w:t>
      </w:r>
      <w:r w:rsidR="00072581">
        <w:rPr>
          <w:rFonts w:asciiTheme="minorHAnsi" w:eastAsiaTheme="minorHAnsi" w:hAnsiTheme="minorHAnsi" w:cstheme="minorBidi"/>
          <w:color w:val="1F497D" w:themeColor="text2"/>
          <w:spacing w:val="-4"/>
          <w:sz w:val="20"/>
          <w:lang w:eastAsia="en-US"/>
        </w:rPr>
        <w:t xml:space="preserve">1 </w:t>
      </w:r>
      <w:r w:rsidR="004772D9">
        <w:rPr>
          <w:rFonts w:asciiTheme="minorHAnsi" w:eastAsiaTheme="minorHAnsi" w:hAnsiTheme="minorHAnsi" w:cstheme="minorBidi"/>
          <w:color w:val="1F497D" w:themeColor="text2"/>
          <w:spacing w:val="-4"/>
          <w:sz w:val="20"/>
          <w:lang w:eastAsia="en-US"/>
        </w:rPr>
        <w:t>March 2018</w:t>
      </w:r>
    </w:p>
    <w:tbl>
      <w:tblPr>
        <w:tblStyle w:val="TableGrid11"/>
        <w:tblpPr w:leftFromText="180" w:rightFromText="180" w:bottomFromText="155" w:vertAnchor="text"/>
        <w:tblW w:w="4998" w:type="pct"/>
        <w:tblLayout w:type="fixed"/>
        <w:tblLook w:val="04A0" w:firstRow="1" w:lastRow="0" w:firstColumn="1" w:lastColumn="0" w:noHBand="0" w:noVBand="1"/>
      </w:tblPr>
      <w:tblGrid>
        <w:gridCol w:w="2676"/>
        <w:gridCol w:w="908"/>
        <w:gridCol w:w="908"/>
        <w:gridCol w:w="908"/>
        <w:gridCol w:w="908"/>
        <w:gridCol w:w="906"/>
        <w:gridCol w:w="904"/>
        <w:gridCol w:w="904"/>
      </w:tblGrid>
      <w:tr w:rsidR="004772D9" w:rsidRPr="00764FC5" w:rsidTr="004772D9">
        <w:trPr>
          <w:cnfStyle w:val="100000000000" w:firstRow="1" w:lastRow="0" w:firstColumn="0" w:lastColumn="0" w:oddVBand="0" w:evenVBand="0" w:oddHBand="0" w:evenHBand="0" w:firstRowFirstColumn="0" w:firstRowLastColumn="0" w:lastRowFirstColumn="0" w:lastRowLastColumn="0"/>
          <w:trHeight w:val="704"/>
          <w:tblHeader/>
        </w:trPr>
        <w:tc>
          <w:tcPr>
            <w:cnfStyle w:val="001000000100" w:firstRow="0" w:lastRow="0" w:firstColumn="1" w:lastColumn="0" w:oddVBand="0" w:evenVBand="0" w:oddHBand="0" w:evenHBand="0" w:firstRowFirstColumn="1" w:firstRowLastColumn="0" w:lastRowFirstColumn="0" w:lastRowLastColumn="0"/>
            <w:tcW w:w="1483" w:type="pct"/>
            <w:noWrap/>
          </w:tcPr>
          <w:p w:rsidR="004772D9" w:rsidRPr="00764FC5" w:rsidRDefault="004772D9" w:rsidP="004772D9">
            <w:pPr>
              <w:keepNext/>
              <w:keepLines/>
              <w:spacing w:before="0" w:after="200" w:line="240" w:lineRule="auto"/>
              <w:ind w:left="0" w:right="0"/>
              <w:rPr>
                <w:rFonts w:eastAsia="Calibri"/>
                <w:b/>
                <w:color w:val="auto"/>
                <w:sz w:val="18"/>
                <w:szCs w:val="18"/>
                <w:lang w:eastAsia="en-US"/>
              </w:rPr>
            </w:pPr>
          </w:p>
        </w:tc>
        <w:tc>
          <w:tcPr>
            <w:tcW w:w="503" w:type="pct"/>
          </w:tcPr>
          <w:p w:rsidR="004772D9" w:rsidRPr="00D77CDE" w:rsidRDefault="004772D9" w:rsidP="004772D9">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D77CDE">
              <w:rPr>
                <w:rFonts w:asciiTheme="minorHAnsi" w:hAnsiTheme="minorHAnsi"/>
                <w:b/>
                <w:sz w:val="18"/>
                <w:szCs w:val="18"/>
              </w:rPr>
              <w:t>2014–15</w:t>
            </w:r>
          </w:p>
          <w:p w:rsidR="004772D9" w:rsidRPr="001244FE" w:rsidRDefault="004772D9" w:rsidP="004772D9">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D77CDE">
              <w:rPr>
                <w:rFonts w:asciiTheme="minorHAnsi" w:hAnsiTheme="minorHAnsi"/>
                <w:b/>
                <w:sz w:val="18"/>
                <w:szCs w:val="18"/>
              </w:rPr>
              <w:t>Total</w:t>
            </w:r>
          </w:p>
        </w:tc>
        <w:tc>
          <w:tcPr>
            <w:tcW w:w="503" w:type="pct"/>
          </w:tcPr>
          <w:p w:rsidR="004772D9" w:rsidRPr="001244FE" w:rsidRDefault="004772D9" w:rsidP="004772D9">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w:t>
            </w:r>
            <w:r>
              <w:rPr>
                <w:rFonts w:asciiTheme="minorHAnsi" w:hAnsiTheme="minorHAnsi"/>
                <w:b/>
                <w:sz w:val="18"/>
                <w:szCs w:val="18"/>
              </w:rPr>
              <w:t>5</w:t>
            </w:r>
            <w:r w:rsidRPr="001244FE">
              <w:rPr>
                <w:rFonts w:asciiTheme="minorHAnsi" w:hAnsiTheme="minorHAnsi"/>
                <w:b/>
                <w:sz w:val="18"/>
                <w:szCs w:val="18"/>
              </w:rPr>
              <w:t>–1</w:t>
            </w:r>
            <w:r>
              <w:rPr>
                <w:rFonts w:asciiTheme="minorHAnsi" w:hAnsiTheme="minorHAnsi"/>
                <w:b/>
                <w:sz w:val="18"/>
                <w:szCs w:val="18"/>
              </w:rPr>
              <w:t>6</w:t>
            </w:r>
          </w:p>
          <w:p w:rsidR="004772D9" w:rsidRPr="001E1EE2" w:rsidRDefault="004772D9" w:rsidP="004772D9">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1244FE">
              <w:rPr>
                <w:rFonts w:asciiTheme="minorHAnsi" w:hAnsiTheme="minorHAnsi"/>
                <w:b/>
                <w:sz w:val="18"/>
                <w:szCs w:val="18"/>
              </w:rPr>
              <w:t>Total</w:t>
            </w:r>
          </w:p>
        </w:tc>
        <w:tc>
          <w:tcPr>
            <w:tcW w:w="503" w:type="pct"/>
          </w:tcPr>
          <w:p w:rsidR="004772D9" w:rsidRPr="00B40746" w:rsidRDefault="004772D9" w:rsidP="004772D9">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B40746">
              <w:rPr>
                <w:rFonts w:asciiTheme="minorHAnsi" w:hAnsiTheme="minorHAnsi"/>
                <w:b/>
                <w:sz w:val="18"/>
                <w:szCs w:val="18"/>
              </w:rPr>
              <w:t>2016–17</w:t>
            </w:r>
          </w:p>
          <w:p w:rsidR="004772D9" w:rsidRPr="001E1EE2" w:rsidDel="00660E2F" w:rsidRDefault="004772D9" w:rsidP="004772D9">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B40746">
              <w:rPr>
                <w:rFonts w:asciiTheme="minorHAnsi" w:hAnsiTheme="minorHAnsi"/>
                <w:b/>
                <w:sz w:val="18"/>
                <w:szCs w:val="18"/>
              </w:rPr>
              <w:t>Total</w:t>
            </w:r>
          </w:p>
        </w:tc>
        <w:tc>
          <w:tcPr>
            <w:tcW w:w="503" w:type="pct"/>
          </w:tcPr>
          <w:p w:rsidR="004772D9" w:rsidRPr="00B40746" w:rsidRDefault="004772D9" w:rsidP="004772D9">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B40746">
              <w:rPr>
                <w:rFonts w:asciiTheme="minorHAnsi" w:hAnsiTheme="minorHAnsi"/>
                <w:b/>
                <w:sz w:val="18"/>
                <w:szCs w:val="18"/>
              </w:rPr>
              <w:t>201</w:t>
            </w:r>
            <w:r>
              <w:rPr>
                <w:rFonts w:asciiTheme="minorHAnsi" w:hAnsiTheme="minorHAnsi"/>
                <w:b/>
                <w:sz w:val="18"/>
                <w:szCs w:val="18"/>
              </w:rPr>
              <w:t>7</w:t>
            </w:r>
            <w:r w:rsidRPr="00B40746">
              <w:rPr>
                <w:rFonts w:asciiTheme="minorHAnsi" w:hAnsiTheme="minorHAnsi"/>
                <w:b/>
                <w:sz w:val="18"/>
                <w:szCs w:val="18"/>
              </w:rPr>
              <w:t>–1</w:t>
            </w:r>
            <w:r>
              <w:rPr>
                <w:rFonts w:asciiTheme="minorHAnsi" w:hAnsiTheme="minorHAnsi"/>
                <w:b/>
                <w:sz w:val="18"/>
                <w:szCs w:val="18"/>
              </w:rPr>
              <w:t>8</w:t>
            </w:r>
          </w:p>
          <w:p w:rsidR="004772D9" w:rsidRPr="001244FE" w:rsidRDefault="004772D9" w:rsidP="004772D9">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Q1</w:t>
            </w:r>
            <w:r w:rsidRPr="001E1EE2" w:rsidDel="00660E2F">
              <w:rPr>
                <w:rFonts w:asciiTheme="minorHAnsi" w:hAnsiTheme="minorHAnsi"/>
                <w:sz w:val="18"/>
                <w:szCs w:val="18"/>
              </w:rPr>
              <w:t xml:space="preserve"> </w:t>
            </w:r>
          </w:p>
        </w:tc>
        <w:tc>
          <w:tcPr>
            <w:tcW w:w="502" w:type="pct"/>
          </w:tcPr>
          <w:p w:rsidR="004772D9" w:rsidRDefault="004772D9" w:rsidP="004772D9">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2017</w:t>
            </w:r>
            <w:r w:rsidRPr="00B40746">
              <w:rPr>
                <w:rFonts w:asciiTheme="minorHAnsi" w:hAnsiTheme="minorHAnsi"/>
                <w:b/>
                <w:sz w:val="18"/>
                <w:szCs w:val="18"/>
              </w:rPr>
              <w:t>–</w:t>
            </w:r>
            <w:r>
              <w:rPr>
                <w:rFonts w:asciiTheme="minorHAnsi" w:hAnsiTheme="minorHAnsi"/>
                <w:b/>
                <w:sz w:val="18"/>
                <w:szCs w:val="18"/>
              </w:rPr>
              <w:t>18</w:t>
            </w:r>
          </w:p>
          <w:p w:rsidR="004772D9" w:rsidRPr="00B40746" w:rsidRDefault="004772D9" w:rsidP="004772D9">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Q2</w:t>
            </w:r>
          </w:p>
        </w:tc>
        <w:tc>
          <w:tcPr>
            <w:tcW w:w="501" w:type="pct"/>
          </w:tcPr>
          <w:p w:rsidR="004772D9" w:rsidRPr="001244FE" w:rsidRDefault="004772D9" w:rsidP="004772D9">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2017–18</w:t>
            </w:r>
          </w:p>
          <w:p w:rsidR="004772D9" w:rsidRPr="00764FC5" w:rsidRDefault="004772D9" w:rsidP="004772D9">
            <w:pPr>
              <w:keepNext/>
              <w:keepLines/>
              <w:cnfStyle w:val="100000000000" w:firstRow="1" w:lastRow="0" w:firstColumn="0" w:lastColumn="0" w:oddVBand="0" w:evenVBand="0" w:oddHBand="0" w:evenHBand="0" w:firstRowFirstColumn="0" w:firstRowLastColumn="0" w:lastRowFirstColumn="0" w:lastRowLastColumn="0"/>
              <w:rPr>
                <w:rFonts w:eastAsia="Calibri"/>
                <w:b/>
                <w:color w:val="auto"/>
                <w:sz w:val="18"/>
                <w:szCs w:val="18"/>
                <w:lang w:eastAsia="en-US"/>
              </w:rPr>
            </w:pPr>
            <w:r>
              <w:rPr>
                <w:rFonts w:asciiTheme="minorHAnsi" w:hAnsiTheme="minorHAnsi"/>
                <w:b/>
                <w:sz w:val="18"/>
                <w:szCs w:val="18"/>
              </w:rPr>
              <w:t>Q3</w:t>
            </w:r>
          </w:p>
        </w:tc>
        <w:tc>
          <w:tcPr>
            <w:tcW w:w="501" w:type="pct"/>
          </w:tcPr>
          <w:p w:rsidR="004772D9" w:rsidRDefault="004772D9" w:rsidP="004772D9">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2017</w:t>
            </w:r>
            <w:r w:rsidRPr="00B40746">
              <w:rPr>
                <w:rFonts w:asciiTheme="minorHAnsi" w:hAnsiTheme="minorHAnsi"/>
                <w:b/>
                <w:sz w:val="18"/>
                <w:szCs w:val="18"/>
              </w:rPr>
              <w:t>–</w:t>
            </w:r>
            <w:r>
              <w:rPr>
                <w:rFonts w:asciiTheme="minorHAnsi" w:hAnsiTheme="minorHAnsi"/>
                <w:b/>
                <w:sz w:val="18"/>
                <w:szCs w:val="18"/>
              </w:rPr>
              <w:t>18</w:t>
            </w:r>
          </w:p>
          <w:p w:rsidR="004772D9" w:rsidRDefault="004772D9" w:rsidP="004772D9">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Total</w:t>
            </w:r>
          </w:p>
        </w:tc>
      </w:tr>
      <w:tr w:rsidR="0051164C" w:rsidRPr="00491308" w:rsidTr="0051164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83" w:type="pct"/>
            <w:noWrap/>
            <w:hideMark/>
          </w:tcPr>
          <w:p w:rsidR="0051164C" w:rsidRPr="00491308" w:rsidRDefault="0051164C" w:rsidP="004772D9">
            <w:pPr>
              <w:rPr>
                <w:rFonts w:cs="Arial"/>
                <w:bCs/>
                <w:sz w:val="18"/>
                <w:szCs w:val="18"/>
              </w:rPr>
            </w:pPr>
            <w:r w:rsidRPr="00491308">
              <w:rPr>
                <w:rFonts w:cs="Arial"/>
                <w:bCs/>
                <w:sz w:val="18"/>
                <w:szCs w:val="18"/>
              </w:rPr>
              <w:t>Requests outstanding at start of period</w:t>
            </w:r>
          </w:p>
        </w:tc>
        <w:tc>
          <w:tcPr>
            <w:tcW w:w="503" w:type="pct"/>
          </w:tcPr>
          <w:p w:rsidR="0051164C" w:rsidRPr="00583436"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583436">
              <w:rPr>
                <w:rFonts w:cs="Arial"/>
                <w:bCs/>
                <w:sz w:val="18"/>
                <w:szCs w:val="18"/>
              </w:rPr>
              <w:t>76</w:t>
            </w:r>
          </w:p>
        </w:tc>
        <w:tc>
          <w:tcPr>
            <w:tcW w:w="503" w:type="pct"/>
          </w:tcPr>
          <w:p w:rsidR="0051164C" w:rsidRPr="00583436"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583436">
              <w:rPr>
                <w:rFonts w:cs="Arial"/>
                <w:bCs/>
                <w:sz w:val="18"/>
                <w:szCs w:val="18"/>
              </w:rPr>
              <w:t>138</w:t>
            </w:r>
          </w:p>
        </w:tc>
        <w:tc>
          <w:tcPr>
            <w:tcW w:w="503" w:type="pct"/>
          </w:tcPr>
          <w:p w:rsidR="0051164C" w:rsidRPr="00583436" w:rsidDel="00660E2F"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583436">
              <w:rPr>
                <w:rFonts w:cs="Arial"/>
                <w:bCs/>
                <w:sz w:val="18"/>
                <w:szCs w:val="18"/>
              </w:rPr>
              <w:t>20</w:t>
            </w:r>
          </w:p>
        </w:tc>
        <w:tc>
          <w:tcPr>
            <w:tcW w:w="503" w:type="pct"/>
          </w:tcPr>
          <w:p w:rsidR="0051164C" w:rsidRPr="00491308"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180</w:t>
            </w:r>
          </w:p>
        </w:tc>
        <w:tc>
          <w:tcPr>
            <w:tcW w:w="502" w:type="pct"/>
          </w:tcPr>
          <w:p w:rsidR="0051164C"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108</w:t>
            </w:r>
          </w:p>
        </w:tc>
        <w:tc>
          <w:tcPr>
            <w:tcW w:w="501" w:type="pct"/>
          </w:tcPr>
          <w:p w:rsidR="0051164C" w:rsidRPr="00583436"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134</w:t>
            </w:r>
          </w:p>
        </w:tc>
        <w:tc>
          <w:tcPr>
            <w:tcW w:w="501" w:type="pct"/>
          </w:tcPr>
          <w:p w:rsidR="0051164C" w:rsidRPr="0051164C" w:rsidRDefault="0051164C" w:rsidP="0051164C">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51164C">
              <w:rPr>
                <w:sz w:val="18"/>
                <w:szCs w:val="18"/>
              </w:rPr>
              <w:t>180</w:t>
            </w:r>
          </w:p>
        </w:tc>
      </w:tr>
      <w:tr w:rsidR="0051164C" w:rsidRPr="00491308" w:rsidTr="0051164C">
        <w:trPr>
          <w:trHeight w:val="459"/>
        </w:trPr>
        <w:tc>
          <w:tcPr>
            <w:cnfStyle w:val="001000000000" w:firstRow="0" w:lastRow="0" w:firstColumn="1" w:lastColumn="0" w:oddVBand="0" w:evenVBand="0" w:oddHBand="0" w:evenHBand="0" w:firstRowFirstColumn="0" w:firstRowLastColumn="0" w:lastRowFirstColumn="0" w:lastRowLastColumn="0"/>
            <w:tcW w:w="1483" w:type="pct"/>
            <w:noWrap/>
            <w:hideMark/>
          </w:tcPr>
          <w:p w:rsidR="0051164C" w:rsidRPr="00491308" w:rsidRDefault="0051164C" w:rsidP="004772D9">
            <w:pPr>
              <w:rPr>
                <w:rFonts w:cs="Arial"/>
                <w:bCs/>
                <w:sz w:val="18"/>
                <w:szCs w:val="18"/>
              </w:rPr>
            </w:pPr>
            <w:r w:rsidRPr="00491308">
              <w:rPr>
                <w:rFonts w:cs="Arial"/>
                <w:bCs/>
                <w:sz w:val="18"/>
                <w:szCs w:val="18"/>
              </w:rPr>
              <w:t>Requests received in period</w:t>
            </w:r>
          </w:p>
        </w:tc>
        <w:tc>
          <w:tcPr>
            <w:tcW w:w="503" w:type="pct"/>
          </w:tcPr>
          <w:p w:rsidR="0051164C" w:rsidRPr="00583436" w:rsidRDefault="0051164C" w:rsidP="004772D9">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583436">
              <w:rPr>
                <w:rFonts w:cs="Arial"/>
                <w:bCs/>
                <w:sz w:val="18"/>
                <w:szCs w:val="18"/>
              </w:rPr>
              <w:t>973</w:t>
            </w:r>
          </w:p>
        </w:tc>
        <w:tc>
          <w:tcPr>
            <w:tcW w:w="503" w:type="pct"/>
          </w:tcPr>
          <w:p w:rsidR="0051164C" w:rsidRPr="00583436" w:rsidRDefault="0051164C" w:rsidP="004772D9">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583436">
              <w:rPr>
                <w:rFonts w:cs="Arial"/>
                <w:bCs/>
                <w:sz w:val="18"/>
                <w:szCs w:val="18"/>
              </w:rPr>
              <w:t>4,146</w:t>
            </w:r>
          </w:p>
        </w:tc>
        <w:tc>
          <w:tcPr>
            <w:tcW w:w="503" w:type="pct"/>
          </w:tcPr>
          <w:p w:rsidR="0051164C" w:rsidRPr="00583436" w:rsidDel="00660E2F" w:rsidRDefault="0051164C" w:rsidP="004772D9">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583436">
              <w:rPr>
                <w:rFonts w:cs="Arial"/>
                <w:bCs/>
                <w:sz w:val="18"/>
                <w:szCs w:val="18"/>
              </w:rPr>
              <w:t>2,</w:t>
            </w:r>
            <w:r>
              <w:rPr>
                <w:rFonts w:cs="Arial"/>
                <w:bCs/>
                <w:sz w:val="18"/>
                <w:szCs w:val="18"/>
              </w:rPr>
              <w:t>572</w:t>
            </w:r>
          </w:p>
        </w:tc>
        <w:tc>
          <w:tcPr>
            <w:tcW w:w="503" w:type="pct"/>
          </w:tcPr>
          <w:p w:rsidR="0051164C" w:rsidRPr="00491308" w:rsidRDefault="0051164C" w:rsidP="004772D9">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448</w:t>
            </w:r>
          </w:p>
        </w:tc>
        <w:tc>
          <w:tcPr>
            <w:tcW w:w="502" w:type="pct"/>
          </w:tcPr>
          <w:p w:rsidR="0051164C" w:rsidRDefault="0051164C" w:rsidP="004772D9">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264</w:t>
            </w:r>
          </w:p>
        </w:tc>
        <w:tc>
          <w:tcPr>
            <w:tcW w:w="501" w:type="pct"/>
          </w:tcPr>
          <w:p w:rsidR="0051164C" w:rsidRPr="00583436" w:rsidRDefault="0051164C" w:rsidP="0041391A">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41391A">
              <w:rPr>
                <w:rFonts w:cs="Arial"/>
                <w:bCs/>
                <w:sz w:val="18"/>
                <w:szCs w:val="18"/>
              </w:rPr>
              <w:t>617</w:t>
            </w:r>
          </w:p>
        </w:tc>
        <w:tc>
          <w:tcPr>
            <w:tcW w:w="501" w:type="pct"/>
          </w:tcPr>
          <w:p w:rsidR="0051164C" w:rsidRPr="0051164C" w:rsidRDefault="0051164C" w:rsidP="0051164C">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51164C">
              <w:rPr>
                <w:sz w:val="18"/>
                <w:szCs w:val="18"/>
              </w:rPr>
              <w:t>1,329</w:t>
            </w:r>
          </w:p>
        </w:tc>
      </w:tr>
      <w:tr w:rsidR="0051164C" w:rsidRPr="00491308" w:rsidTr="0051164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83" w:type="pct"/>
            <w:noWrap/>
            <w:hideMark/>
          </w:tcPr>
          <w:p w:rsidR="0051164C" w:rsidRPr="00491308" w:rsidRDefault="0051164C" w:rsidP="004772D9">
            <w:pPr>
              <w:rPr>
                <w:rFonts w:cs="Arial"/>
                <w:bCs/>
                <w:sz w:val="18"/>
                <w:szCs w:val="18"/>
              </w:rPr>
            </w:pPr>
            <w:r w:rsidRPr="00491308">
              <w:rPr>
                <w:rFonts w:cs="Arial"/>
                <w:bCs/>
                <w:sz w:val="18"/>
                <w:szCs w:val="18"/>
              </w:rPr>
              <w:t>Requests withdrawn in period</w:t>
            </w:r>
          </w:p>
        </w:tc>
        <w:tc>
          <w:tcPr>
            <w:tcW w:w="503" w:type="pct"/>
          </w:tcPr>
          <w:p w:rsidR="0051164C" w:rsidRPr="00583436"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583436">
              <w:rPr>
                <w:rFonts w:cs="Arial"/>
                <w:bCs/>
                <w:sz w:val="18"/>
                <w:szCs w:val="18"/>
              </w:rPr>
              <w:t>42</w:t>
            </w:r>
          </w:p>
        </w:tc>
        <w:tc>
          <w:tcPr>
            <w:tcW w:w="503" w:type="pct"/>
          </w:tcPr>
          <w:p w:rsidR="0051164C" w:rsidRPr="00583436"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583436">
              <w:rPr>
                <w:rFonts w:cs="Arial"/>
                <w:bCs/>
                <w:sz w:val="18"/>
                <w:szCs w:val="18"/>
              </w:rPr>
              <w:t>1,013</w:t>
            </w:r>
          </w:p>
        </w:tc>
        <w:tc>
          <w:tcPr>
            <w:tcW w:w="503" w:type="pct"/>
          </w:tcPr>
          <w:p w:rsidR="0051164C" w:rsidRPr="00583436" w:rsidDel="00660E2F"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524</w:t>
            </w:r>
          </w:p>
        </w:tc>
        <w:tc>
          <w:tcPr>
            <w:tcW w:w="503" w:type="pct"/>
          </w:tcPr>
          <w:p w:rsidR="0051164C" w:rsidRPr="00491308"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41</w:t>
            </w:r>
          </w:p>
        </w:tc>
        <w:tc>
          <w:tcPr>
            <w:tcW w:w="502" w:type="pct"/>
          </w:tcPr>
          <w:p w:rsidR="0051164C"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25</w:t>
            </w:r>
          </w:p>
        </w:tc>
        <w:tc>
          <w:tcPr>
            <w:tcW w:w="501" w:type="pct"/>
          </w:tcPr>
          <w:p w:rsidR="0051164C" w:rsidRPr="00583436" w:rsidRDefault="0051164C" w:rsidP="0041391A">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41391A">
              <w:rPr>
                <w:rFonts w:cs="Arial"/>
                <w:bCs/>
                <w:sz w:val="18"/>
                <w:szCs w:val="18"/>
              </w:rPr>
              <w:t>39</w:t>
            </w:r>
          </w:p>
        </w:tc>
        <w:tc>
          <w:tcPr>
            <w:tcW w:w="501" w:type="pct"/>
          </w:tcPr>
          <w:p w:rsidR="0051164C" w:rsidRPr="0051164C" w:rsidRDefault="0051164C" w:rsidP="0051164C">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51164C">
              <w:rPr>
                <w:sz w:val="18"/>
                <w:szCs w:val="18"/>
              </w:rPr>
              <w:t>105</w:t>
            </w:r>
          </w:p>
        </w:tc>
      </w:tr>
      <w:tr w:rsidR="0051164C" w:rsidRPr="00491308" w:rsidTr="0051164C">
        <w:trPr>
          <w:trHeight w:val="459"/>
        </w:trPr>
        <w:tc>
          <w:tcPr>
            <w:cnfStyle w:val="001000000000" w:firstRow="0" w:lastRow="0" w:firstColumn="1" w:lastColumn="0" w:oddVBand="0" w:evenVBand="0" w:oddHBand="0" w:evenHBand="0" w:firstRowFirstColumn="0" w:firstRowLastColumn="0" w:lastRowFirstColumn="0" w:lastRowLastColumn="0"/>
            <w:tcW w:w="1483" w:type="pct"/>
            <w:noWrap/>
            <w:hideMark/>
          </w:tcPr>
          <w:p w:rsidR="0051164C" w:rsidRPr="00491308" w:rsidRDefault="0051164C" w:rsidP="004772D9">
            <w:pPr>
              <w:rPr>
                <w:rFonts w:cs="Arial"/>
                <w:bCs/>
                <w:sz w:val="18"/>
                <w:szCs w:val="18"/>
              </w:rPr>
            </w:pPr>
            <w:r w:rsidRPr="00491308">
              <w:rPr>
                <w:rFonts w:cs="Arial"/>
                <w:bCs/>
                <w:sz w:val="18"/>
                <w:szCs w:val="18"/>
              </w:rPr>
              <w:t>Requests completed in period</w:t>
            </w:r>
          </w:p>
        </w:tc>
        <w:tc>
          <w:tcPr>
            <w:tcW w:w="503" w:type="pct"/>
          </w:tcPr>
          <w:p w:rsidR="0051164C" w:rsidRPr="00583436" w:rsidRDefault="0051164C" w:rsidP="004772D9">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583436">
              <w:rPr>
                <w:rFonts w:cs="Arial"/>
                <w:bCs/>
                <w:sz w:val="18"/>
                <w:szCs w:val="18"/>
              </w:rPr>
              <w:t>869</w:t>
            </w:r>
          </w:p>
        </w:tc>
        <w:tc>
          <w:tcPr>
            <w:tcW w:w="503" w:type="pct"/>
          </w:tcPr>
          <w:p w:rsidR="0051164C" w:rsidRPr="00583436" w:rsidRDefault="0051164C" w:rsidP="004772D9">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583436">
              <w:rPr>
                <w:rFonts w:cs="Arial"/>
                <w:bCs/>
                <w:sz w:val="18"/>
                <w:szCs w:val="18"/>
              </w:rPr>
              <w:t>3,251</w:t>
            </w:r>
          </w:p>
        </w:tc>
        <w:tc>
          <w:tcPr>
            <w:tcW w:w="503" w:type="pct"/>
          </w:tcPr>
          <w:p w:rsidR="0051164C" w:rsidRPr="00583436" w:rsidDel="00660E2F" w:rsidRDefault="0051164C" w:rsidP="004772D9">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1,888</w:t>
            </w:r>
          </w:p>
        </w:tc>
        <w:tc>
          <w:tcPr>
            <w:tcW w:w="503" w:type="pct"/>
          </w:tcPr>
          <w:p w:rsidR="0051164C" w:rsidRPr="00491308" w:rsidRDefault="0051164C" w:rsidP="004772D9">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479</w:t>
            </w:r>
          </w:p>
        </w:tc>
        <w:tc>
          <w:tcPr>
            <w:tcW w:w="502" w:type="pct"/>
          </w:tcPr>
          <w:p w:rsidR="0051164C" w:rsidRDefault="0051164C" w:rsidP="004772D9">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213</w:t>
            </w:r>
          </w:p>
        </w:tc>
        <w:tc>
          <w:tcPr>
            <w:tcW w:w="501" w:type="pct"/>
          </w:tcPr>
          <w:p w:rsidR="0051164C" w:rsidRPr="00583436" w:rsidRDefault="0051164C" w:rsidP="0041391A">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41391A">
              <w:rPr>
                <w:rFonts w:cs="Arial"/>
                <w:bCs/>
                <w:sz w:val="18"/>
                <w:szCs w:val="18"/>
              </w:rPr>
              <w:t>397</w:t>
            </w:r>
          </w:p>
        </w:tc>
        <w:tc>
          <w:tcPr>
            <w:tcW w:w="501" w:type="pct"/>
          </w:tcPr>
          <w:p w:rsidR="0051164C" w:rsidRPr="0051164C" w:rsidRDefault="0051164C" w:rsidP="0051164C">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51164C">
              <w:rPr>
                <w:sz w:val="18"/>
                <w:szCs w:val="18"/>
              </w:rPr>
              <w:t>1,089</w:t>
            </w:r>
          </w:p>
        </w:tc>
      </w:tr>
      <w:tr w:rsidR="0051164C" w:rsidRPr="00491308" w:rsidTr="0051164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83" w:type="pct"/>
            <w:noWrap/>
            <w:hideMark/>
          </w:tcPr>
          <w:p w:rsidR="0051164C" w:rsidRPr="00491308" w:rsidRDefault="0051164C" w:rsidP="004772D9">
            <w:pPr>
              <w:rPr>
                <w:rFonts w:cs="Arial"/>
                <w:bCs/>
                <w:sz w:val="18"/>
                <w:szCs w:val="18"/>
              </w:rPr>
            </w:pPr>
            <w:r w:rsidRPr="00491308">
              <w:rPr>
                <w:rFonts w:cs="Arial"/>
                <w:bCs/>
                <w:sz w:val="18"/>
                <w:szCs w:val="18"/>
              </w:rPr>
              <w:t>Average time to completion (business days)</w:t>
            </w:r>
          </w:p>
        </w:tc>
        <w:tc>
          <w:tcPr>
            <w:tcW w:w="503" w:type="pct"/>
          </w:tcPr>
          <w:p w:rsidR="0051164C" w:rsidRPr="00583436"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20</w:t>
            </w:r>
          </w:p>
        </w:tc>
        <w:tc>
          <w:tcPr>
            <w:tcW w:w="503" w:type="pct"/>
          </w:tcPr>
          <w:p w:rsidR="0051164C" w:rsidRPr="00583436"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19</w:t>
            </w:r>
          </w:p>
        </w:tc>
        <w:tc>
          <w:tcPr>
            <w:tcW w:w="503" w:type="pct"/>
          </w:tcPr>
          <w:p w:rsidR="0051164C" w:rsidRPr="00583436" w:rsidDel="00660E2F"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20</w:t>
            </w:r>
          </w:p>
        </w:tc>
        <w:tc>
          <w:tcPr>
            <w:tcW w:w="503" w:type="pct"/>
          </w:tcPr>
          <w:p w:rsidR="0051164C" w:rsidRPr="00491308"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22</w:t>
            </w:r>
          </w:p>
        </w:tc>
        <w:tc>
          <w:tcPr>
            <w:tcW w:w="502" w:type="pct"/>
          </w:tcPr>
          <w:p w:rsidR="0051164C"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25</w:t>
            </w:r>
          </w:p>
        </w:tc>
        <w:tc>
          <w:tcPr>
            <w:tcW w:w="501" w:type="pct"/>
          </w:tcPr>
          <w:p w:rsidR="0051164C" w:rsidRPr="00583436" w:rsidRDefault="0051164C" w:rsidP="005D1256">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41391A">
              <w:rPr>
                <w:rFonts w:cs="Arial"/>
                <w:bCs/>
                <w:sz w:val="18"/>
                <w:szCs w:val="18"/>
              </w:rPr>
              <w:t>15</w:t>
            </w:r>
          </w:p>
        </w:tc>
        <w:tc>
          <w:tcPr>
            <w:tcW w:w="501" w:type="pct"/>
          </w:tcPr>
          <w:p w:rsidR="0051164C" w:rsidRPr="0051164C" w:rsidRDefault="0051164C" w:rsidP="00AD644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51164C">
              <w:rPr>
                <w:sz w:val="18"/>
                <w:szCs w:val="18"/>
              </w:rPr>
              <w:t>20</w:t>
            </w:r>
          </w:p>
        </w:tc>
      </w:tr>
      <w:tr w:rsidR="0051164C" w:rsidRPr="00764FC5" w:rsidTr="0051164C">
        <w:trPr>
          <w:trHeight w:val="459"/>
        </w:trPr>
        <w:tc>
          <w:tcPr>
            <w:cnfStyle w:val="001000000000" w:firstRow="0" w:lastRow="0" w:firstColumn="1" w:lastColumn="0" w:oddVBand="0" w:evenVBand="0" w:oddHBand="0" w:evenHBand="0" w:firstRowFirstColumn="0" w:firstRowLastColumn="0" w:lastRowFirstColumn="0" w:lastRowLastColumn="0"/>
            <w:tcW w:w="1483" w:type="pct"/>
            <w:noWrap/>
          </w:tcPr>
          <w:p w:rsidR="0051164C" w:rsidRPr="00764FC5" w:rsidRDefault="0051164C" w:rsidP="004772D9">
            <w:pPr>
              <w:rPr>
                <w:rFonts w:eastAsia="Calibri"/>
                <w:sz w:val="18"/>
                <w:szCs w:val="18"/>
              </w:rPr>
            </w:pPr>
            <w:r>
              <w:rPr>
                <w:rFonts w:eastAsia="Calibri"/>
                <w:sz w:val="18"/>
                <w:szCs w:val="18"/>
              </w:rPr>
              <w:t>Median time to completion (business days)</w:t>
            </w:r>
          </w:p>
        </w:tc>
        <w:tc>
          <w:tcPr>
            <w:tcW w:w="503" w:type="pct"/>
          </w:tcPr>
          <w:p w:rsidR="0051164C" w:rsidRPr="00583436" w:rsidRDefault="0051164C" w:rsidP="004772D9">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583436">
              <w:rPr>
                <w:rFonts w:cs="Arial"/>
                <w:bCs/>
                <w:sz w:val="18"/>
                <w:szCs w:val="18"/>
              </w:rPr>
              <w:t>12</w:t>
            </w:r>
          </w:p>
        </w:tc>
        <w:tc>
          <w:tcPr>
            <w:tcW w:w="503" w:type="pct"/>
          </w:tcPr>
          <w:p w:rsidR="0051164C" w:rsidRPr="00583436" w:rsidRDefault="0051164C" w:rsidP="004772D9">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583436">
              <w:rPr>
                <w:rFonts w:cs="Arial"/>
                <w:bCs/>
                <w:sz w:val="18"/>
                <w:szCs w:val="18"/>
              </w:rPr>
              <w:t>16</w:t>
            </w:r>
          </w:p>
        </w:tc>
        <w:tc>
          <w:tcPr>
            <w:tcW w:w="503" w:type="pct"/>
          </w:tcPr>
          <w:p w:rsidR="0051164C" w:rsidRPr="00583436" w:rsidDel="00660E2F" w:rsidRDefault="0051164C" w:rsidP="004772D9">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12</w:t>
            </w:r>
          </w:p>
        </w:tc>
        <w:tc>
          <w:tcPr>
            <w:tcW w:w="503" w:type="pct"/>
          </w:tcPr>
          <w:p w:rsidR="0051164C" w:rsidRPr="00491308" w:rsidRDefault="0051164C" w:rsidP="004772D9">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12</w:t>
            </w:r>
          </w:p>
        </w:tc>
        <w:tc>
          <w:tcPr>
            <w:tcW w:w="502" w:type="pct"/>
          </w:tcPr>
          <w:p w:rsidR="0051164C" w:rsidRDefault="0051164C" w:rsidP="004772D9">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15</w:t>
            </w:r>
          </w:p>
        </w:tc>
        <w:tc>
          <w:tcPr>
            <w:tcW w:w="501" w:type="pct"/>
          </w:tcPr>
          <w:p w:rsidR="0051164C" w:rsidRPr="00583436" w:rsidRDefault="0051164C" w:rsidP="0041391A">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41391A">
              <w:rPr>
                <w:rFonts w:cs="Arial"/>
                <w:bCs/>
                <w:sz w:val="18"/>
                <w:szCs w:val="18"/>
              </w:rPr>
              <w:t>13</w:t>
            </w:r>
          </w:p>
        </w:tc>
        <w:tc>
          <w:tcPr>
            <w:tcW w:w="501" w:type="pct"/>
          </w:tcPr>
          <w:p w:rsidR="0051164C" w:rsidRPr="0051164C" w:rsidRDefault="0051164C" w:rsidP="0051164C">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51164C">
              <w:rPr>
                <w:sz w:val="18"/>
                <w:szCs w:val="18"/>
              </w:rPr>
              <w:t>13</w:t>
            </w:r>
          </w:p>
        </w:tc>
      </w:tr>
      <w:tr w:rsidR="0051164C" w:rsidRPr="00764FC5" w:rsidTr="0051164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83" w:type="pct"/>
            <w:noWrap/>
          </w:tcPr>
          <w:p w:rsidR="0051164C" w:rsidRDefault="0051164C" w:rsidP="004772D9">
            <w:pPr>
              <w:rPr>
                <w:rFonts w:eastAsia="Calibri"/>
                <w:sz w:val="18"/>
                <w:szCs w:val="18"/>
              </w:rPr>
            </w:pPr>
            <w:r w:rsidRPr="00764FC5">
              <w:rPr>
                <w:rFonts w:eastAsia="Calibri"/>
                <w:sz w:val="18"/>
                <w:szCs w:val="18"/>
              </w:rPr>
              <w:t>Requests outstanding at end of period</w:t>
            </w:r>
          </w:p>
        </w:tc>
        <w:tc>
          <w:tcPr>
            <w:tcW w:w="503" w:type="pct"/>
          </w:tcPr>
          <w:p w:rsidR="0051164C" w:rsidRPr="00583436"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583436">
              <w:rPr>
                <w:rFonts w:cs="Arial"/>
                <w:bCs/>
                <w:sz w:val="18"/>
                <w:szCs w:val="18"/>
              </w:rPr>
              <w:t>138</w:t>
            </w:r>
          </w:p>
        </w:tc>
        <w:tc>
          <w:tcPr>
            <w:tcW w:w="503" w:type="pct"/>
          </w:tcPr>
          <w:p w:rsidR="0051164C" w:rsidRPr="00583436"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583436">
              <w:rPr>
                <w:rFonts w:cs="Arial"/>
                <w:bCs/>
                <w:sz w:val="18"/>
                <w:szCs w:val="18"/>
              </w:rPr>
              <w:t>20</w:t>
            </w:r>
          </w:p>
        </w:tc>
        <w:tc>
          <w:tcPr>
            <w:tcW w:w="503" w:type="pct"/>
          </w:tcPr>
          <w:p w:rsidR="0051164C" w:rsidRPr="00583436" w:rsidDel="00660E2F"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180</w:t>
            </w:r>
          </w:p>
        </w:tc>
        <w:tc>
          <w:tcPr>
            <w:tcW w:w="503" w:type="pct"/>
          </w:tcPr>
          <w:p w:rsidR="0051164C" w:rsidRPr="00491308"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108</w:t>
            </w:r>
          </w:p>
        </w:tc>
        <w:tc>
          <w:tcPr>
            <w:tcW w:w="502" w:type="pct"/>
          </w:tcPr>
          <w:p w:rsidR="0051164C" w:rsidRDefault="0051164C" w:rsidP="004772D9">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134</w:t>
            </w:r>
          </w:p>
        </w:tc>
        <w:tc>
          <w:tcPr>
            <w:tcW w:w="501" w:type="pct"/>
          </w:tcPr>
          <w:p w:rsidR="0051164C" w:rsidRPr="00583436" w:rsidRDefault="0051164C" w:rsidP="0041391A">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41391A">
              <w:rPr>
                <w:rFonts w:cs="Arial"/>
                <w:bCs/>
                <w:sz w:val="18"/>
                <w:szCs w:val="18"/>
              </w:rPr>
              <w:t>315</w:t>
            </w:r>
          </w:p>
        </w:tc>
        <w:tc>
          <w:tcPr>
            <w:tcW w:w="501" w:type="pct"/>
          </w:tcPr>
          <w:p w:rsidR="0051164C" w:rsidRPr="0051164C" w:rsidRDefault="0051164C" w:rsidP="0051164C">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51164C">
              <w:rPr>
                <w:sz w:val="18"/>
                <w:szCs w:val="18"/>
              </w:rPr>
              <w:t>315</w:t>
            </w:r>
          </w:p>
        </w:tc>
      </w:tr>
    </w:tbl>
    <w:p w:rsidR="004940D8" w:rsidRPr="00255C1E" w:rsidRDefault="000B288A" w:rsidP="00E60E7C">
      <w:pPr>
        <w:pStyle w:val="TableText"/>
        <w:rPr>
          <w:sz w:val="18"/>
          <w:szCs w:val="18"/>
        </w:rPr>
      </w:pPr>
      <w:r w:rsidRPr="00255C1E">
        <w:rPr>
          <w:sz w:val="18"/>
          <w:szCs w:val="18"/>
        </w:rPr>
        <w:t>Note:  The table identifies</w:t>
      </w:r>
      <w:r w:rsidR="00166823" w:rsidRPr="00255C1E">
        <w:rPr>
          <w:sz w:val="18"/>
          <w:szCs w:val="18"/>
        </w:rPr>
        <w:t xml:space="preserve"> the number of ‘options’ received by the PBO, noting </w:t>
      </w:r>
      <w:r w:rsidR="00D537C5" w:rsidRPr="00255C1E">
        <w:rPr>
          <w:sz w:val="18"/>
          <w:szCs w:val="18"/>
        </w:rPr>
        <w:t>that</w:t>
      </w:r>
      <w:r w:rsidR="00166823" w:rsidRPr="00255C1E">
        <w:rPr>
          <w:sz w:val="18"/>
          <w:szCs w:val="18"/>
        </w:rPr>
        <w:t xml:space="preserve"> a single request can contain multiple options.</w:t>
      </w:r>
    </w:p>
    <w:p w:rsidR="00F36BEB" w:rsidRDefault="00F36BEB" w:rsidP="00E60E7C">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Figure 1:</w:t>
      </w:r>
      <w:r w:rsidR="005D002A">
        <w:rPr>
          <w:rFonts w:asciiTheme="minorHAnsi" w:eastAsiaTheme="minorHAnsi" w:hAnsiTheme="minorHAnsi" w:cstheme="minorBidi"/>
          <w:color w:val="1F497D" w:themeColor="text2"/>
          <w:spacing w:val="-4"/>
          <w:sz w:val="20"/>
          <w:lang w:eastAsia="en-US"/>
        </w:rPr>
        <w:t xml:space="preserve"> PBO response t</w:t>
      </w:r>
      <w:r w:rsidRPr="005D002A">
        <w:rPr>
          <w:rFonts w:asciiTheme="minorHAnsi" w:eastAsiaTheme="minorHAnsi" w:hAnsiTheme="minorHAnsi" w:cstheme="minorBidi"/>
          <w:color w:val="1F497D" w:themeColor="text2"/>
          <w:spacing w:val="-4"/>
          <w:sz w:val="20"/>
          <w:lang w:eastAsia="en-US"/>
        </w:rPr>
        <w:t xml:space="preserve">imes for </w:t>
      </w:r>
      <w:r w:rsidR="005D002A">
        <w:rPr>
          <w:rFonts w:asciiTheme="minorHAnsi" w:eastAsiaTheme="minorHAnsi" w:hAnsiTheme="minorHAnsi" w:cstheme="minorBidi"/>
          <w:color w:val="1F497D" w:themeColor="text2"/>
          <w:spacing w:val="-4"/>
          <w:sz w:val="20"/>
          <w:lang w:eastAsia="en-US"/>
        </w:rPr>
        <w:t>c</w:t>
      </w:r>
      <w:r w:rsidRPr="005D002A">
        <w:rPr>
          <w:rFonts w:asciiTheme="minorHAnsi" w:eastAsiaTheme="minorHAnsi" w:hAnsiTheme="minorHAnsi" w:cstheme="minorBidi"/>
          <w:color w:val="1F497D" w:themeColor="text2"/>
          <w:spacing w:val="-4"/>
          <w:sz w:val="20"/>
          <w:lang w:eastAsia="en-US"/>
        </w:rPr>
        <w:t xml:space="preserve">ompleted </w:t>
      </w:r>
      <w:r w:rsidR="005D002A">
        <w:rPr>
          <w:rFonts w:asciiTheme="minorHAnsi" w:eastAsiaTheme="minorHAnsi" w:hAnsiTheme="minorHAnsi" w:cstheme="minorBidi"/>
          <w:color w:val="1F497D" w:themeColor="text2"/>
          <w:spacing w:val="-4"/>
          <w:sz w:val="20"/>
          <w:lang w:eastAsia="en-US"/>
        </w:rPr>
        <w:t>r</w:t>
      </w:r>
      <w:r w:rsidRPr="005D002A">
        <w:rPr>
          <w:rFonts w:asciiTheme="minorHAnsi" w:eastAsiaTheme="minorHAnsi" w:hAnsiTheme="minorHAnsi" w:cstheme="minorBidi"/>
          <w:color w:val="1F497D" w:themeColor="text2"/>
          <w:spacing w:val="-4"/>
          <w:sz w:val="20"/>
          <w:lang w:eastAsia="en-US"/>
        </w:rPr>
        <w:t xml:space="preserve">equests </w:t>
      </w:r>
      <w:r w:rsidR="001244FE">
        <w:rPr>
          <w:rFonts w:asciiTheme="minorHAnsi" w:eastAsiaTheme="minorHAnsi" w:hAnsiTheme="minorHAnsi" w:cstheme="minorBidi"/>
          <w:color w:val="1F497D" w:themeColor="text2"/>
          <w:spacing w:val="-4"/>
          <w:sz w:val="20"/>
          <w:lang w:eastAsia="en-US"/>
        </w:rPr>
        <w:t xml:space="preserve">in </w:t>
      </w:r>
      <w:r w:rsidR="00357D9F">
        <w:rPr>
          <w:rFonts w:asciiTheme="minorHAnsi" w:eastAsiaTheme="minorHAnsi" w:hAnsiTheme="minorHAnsi" w:cstheme="minorBidi"/>
          <w:color w:val="1F497D" w:themeColor="text2"/>
          <w:spacing w:val="-4"/>
          <w:sz w:val="20"/>
          <w:lang w:eastAsia="en-US"/>
        </w:rPr>
        <w:t>201</w:t>
      </w:r>
      <w:r w:rsidR="00DE0325">
        <w:rPr>
          <w:rFonts w:asciiTheme="minorHAnsi" w:eastAsiaTheme="minorHAnsi" w:hAnsiTheme="minorHAnsi" w:cstheme="minorBidi"/>
          <w:color w:val="1F497D" w:themeColor="text2"/>
          <w:spacing w:val="-4"/>
          <w:sz w:val="20"/>
          <w:lang w:eastAsia="en-US"/>
        </w:rPr>
        <w:t>7</w:t>
      </w:r>
      <w:r w:rsidR="00310C2F">
        <w:rPr>
          <w:rFonts w:asciiTheme="minorHAnsi" w:eastAsiaTheme="minorHAnsi" w:hAnsiTheme="minorHAnsi" w:cstheme="minorBidi"/>
          <w:color w:val="1F497D" w:themeColor="text2"/>
          <w:spacing w:val="-4"/>
          <w:sz w:val="20"/>
          <w:lang w:eastAsia="en-US"/>
        </w:rPr>
        <w:t>–</w:t>
      </w:r>
      <w:r w:rsidR="001244FE">
        <w:rPr>
          <w:rFonts w:asciiTheme="minorHAnsi" w:eastAsiaTheme="minorHAnsi" w:hAnsiTheme="minorHAnsi" w:cstheme="minorBidi"/>
          <w:color w:val="1F497D" w:themeColor="text2"/>
          <w:spacing w:val="-4"/>
          <w:sz w:val="20"/>
          <w:lang w:eastAsia="en-US"/>
        </w:rPr>
        <w:t>1</w:t>
      </w:r>
      <w:r w:rsidR="00DE0325">
        <w:rPr>
          <w:rFonts w:asciiTheme="minorHAnsi" w:eastAsiaTheme="minorHAnsi" w:hAnsiTheme="minorHAnsi" w:cstheme="minorBidi"/>
          <w:color w:val="1F497D" w:themeColor="text2"/>
          <w:spacing w:val="-4"/>
          <w:sz w:val="20"/>
          <w:lang w:eastAsia="en-US"/>
        </w:rPr>
        <w:t>8</w:t>
      </w:r>
      <w:r w:rsidR="001244FE">
        <w:rPr>
          <w:rFonts w:asciiTheme="minorHAnsi" w:eastAsiaTheme="minorHAnsi" w:hAnsiTheme="minorHAnsi" w:cstheme="minorBidi"/>
          <w:color w:val="1F497D" w:themeColor="text2"/>
          <w:spacing w:val="-4"/>
          <w:sz w:val="20"/>
          <w:lang w:eastAsia="en-US"/>
        </w:rPr>
        <w:t xml:space="preserve"> to </w:t>
      </w:r>
      <w:r w:rsidR="00096B79">
        <w:rPr>
          <w:rFonts w:asciiTheme="minorHAnsi" w:eastAsiaTheme="minorHAnsi" w:hAnsiTheme="minorHAnsi" w:cstheme="minorBidi"/>
          <w:color w:val="1F497D" w:themeColor="text2"/>
          <w:spacing w:val="-4"/>
          <w:sz w:val="20"/>
          <w:lang w:eastAsia="en-US"/>
        </w:rPr>
        <w:t>3</w:t>
      </w:r>
      <w:r w:rsidR="00072581">
        <w:rPr>
          <w:rFonts w:asciiTheme="minorHAnsi" w:eastAsiaTheme="minorHAnsi" w:hAnsiTheme="minorHAnsi" w:cstheme="minorBidi"/>
          <w:color w:val="1F497D" w:themeColor="text2"/>
          <w:spacing w:val="-4"/>
          <w:sz w:val="20"/>
          <w:lang w:eastAsia="en-US"/>
        </w:rPr>
        <w:t xml:space="preserve">1 </w:t>
      </w:r>
      <w:r w:rsidR="004772D9">
        <w:rPr>
          <w:rFonts w:asciiTheme="minorHAnsi" w:eastAsiaTheme="minorHAnsi" w:hAnsiTheme="minorHAnsi" w:cstheme="minorBidi"/>
          <w:color w:val="1F497D" w:themeColor="text2"/>
          <w:spacing w:val="-4"/>
          <w:sz w:val="20"/>
          <w:lang w:eastAsia="en-US"/>
        </w:rPr>
        <w:t>March 2018</w:t>
      </w:r>
    </w:p>
    <w:p w:rsidR="0041391A" w:rsidRPr="0041391A" w:rsidRDefault="005D1256" w:rsidP="0041391A">
      <w:r>
        <w:rPr>
          <w:noProof/>
          <w:lang w:eastAsia="en-AU"/>
        </w:rPr>
        <w:drawing>
          <wp:inline distT="0" distB="0" distL="0" distR="0" wp14:anchorId="7F3C1E99" wp14:editId="406ED402">
            <wp:extent cx="5731510" cy="2768393"/>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2768393"/>
                    </a:xfrm>
                    <a:prstGeom prst="rect">
                      <a:avLst/>
                    </a:prstGeom>
                  </pic:spPr>
                </pic:pic>
              </a:graphicData>
            </a:graphic>
          </wp:inline>
        </w:drawing>
      </w:r>
    </w:p>
    <w:p w:rsidR="00ED1C54" w:rsidRPr="008B2C4E" w:rsidRDefault="00ED1C54" w:rsidP="008B2C4E"/>
    <w:p w:rsidR="003553BD" w:rsidRPr="003553BD" w:rsidRDefault="003553BD" w:rsidP="00E60E7C">
      <w:pPr>
        <w:pStyle w:val="PBOtext"/>
      </w:pPr>
      <w:r>
        <w:br w:type="page"/>
      </w:r>
    </w:p>
    <w:p w:rsidR="007432E3" w:rsidRDefault="007432E3" w:rsidP="00E60E7C">
      <w:pPr>
        <w:pStyle w:val="PBOheading1"/>
      </w:pPr>
      <w:r w:rsidRPr="00344B8D">
        <w:lastRenderedPageBreak/>
        <w:t xml:space="preserve">Requests by </w:t>
      </w:r>
      <w:r w:rsidRPr="00BB0ADB">
        <w:t>the</w:t>
      </w:r>
      <w:r>
        <w:t xml:space="preserve"> </w:t>
      </w:r>
      <w:r w:rsidRPr="00344B8D">
        <w:t xml:space="preserve">PBO for information from </w:t>
      </w:r>
      <w:r>
        <w:t>agencies</w:t>
      </w:r>
    </w:p>
    <w:p w:rsidR="007432E3" w:rsidRDefault="007432E3" w:rsidP="00E60E7C">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Table</w:t>
      </w:r>
      <w:r>
        <w:rPr>
          <w:rFonts w:asciiTheme="minorHAnsi" w:eastAsiaTheme="minorHAnsi" w:hAnsiTheme="minorHAnsi" w:cstheme="minorBidi"/>
          <w:color w:val="1F497D" w:themeColor="text2"/>
          <w:spacing w:val="-4"/>
          <w:sz w:val="20"/>
          <w:lang w:eastAsia="en-US"/>
        </w:rPr>
        <w:t xml:space="preserve"> 2</w:t>
      </w:r>
      <w:r w:rsidRPr="005D002A">
        <w:rPr>
          <w:rFonts w:asciiTheme="minorHAnsi" w:eastAsiaTheme="minorHAnsi" w:hAnsiTheme="minorHAnsi" w:cstheme="minorBidi"/>
          <w:color w:val="1F497D" w:themeColor="text2"/>
          <w:spacing w:val="-4"/>
          <w:sz w:val="20"/>
          <w:lang w:eastAsia="en-US"/>
        </w:rPr>
        <w:t>: Information requests to agencies</w:t>
      </w:r>
      <w:r w:rsidR="006F770F">
        <w:rPr>
          <w:rFonts w:asciiTheme="minorHAnsi" w:eastAsiaTheme="minorHAnsi" w:hAnsiTheme="minorHAnsi" w:cstheme="minorBidi"/>
          <w:color w:val="1F497D" w:themeColor="text2"/>
          <w:spacing w:val="-4"/>
          <w:sz w:val="20"/>
          <w:lang w:eastAsia="en-US"/>
        </w:rPr>
        <w:t xml:space="preserve"> </w:t>
      </w:r>
      <w:r>
        <w:rPr>
          <w:rFonts w:asciiTheme="minorHAnsi" w:eastAsiaTheme="minorHAnsi" w:hAnsiTheme="minorHAnsi" w:cstheme="minorBidi"/>
          <w:color w:val="1F497D" w:themeColor="text2"/>
          <w:spacing w:val="-4"/>
          <w:sz w:val="20"/>
          <w:lang w:eastAsia="en-US"/>
        </w:rPr>
        <w:t xml:space="preserve">to </w:t>
      </w:r>
      <w:r w:rsidR="00DE0325">
        <w:rPr>
          <w:rFonts w:asciiTheme="minorHAnsi" w:eastAsiaTheme="minorHAnsi" w:hAnsiTheme="minorHAnsi" w:cstheme="minorBidi"/>
          <w:color w:val="1F497D" w:themeColor="text2"/>
          <w:spacing w:val="-4"/>
          <w:sz w:val="20"/>
          <w:lang w:eastAsia="en-US"/>
        </w:rPr>
        <w:t>3</w:t>
      </w:r>
      <w:r w:rsidR="00072581">
        <w:rPr>
          <w:rFonts w:asciiTheme="minorHAnsi" w:eastAsiaTheme="minorHAnsi" w:hAnsiTheme="minorHAnsi" w:cstheme="minorBidi"/>
          <w:color w:val="1F497D" w:themeColor="text2"/>
          <w:spacing w:val="-4"/>
          <w:sz w:val="20"/>
          <w:lang w:eastAsia="en-US"/>
        </w:rPr>
        <w:t xml:space="preserve">1 </w:t>
      </w:r>
      <w:r w:rsidR="004772D9">
        <w:rPr>
          <w:rFonts w:asciiTheme="minorHAnsi" w:eastAsiaTheme="minorHAnsi" w:hAnsiTheme="minorHAnsi" w:cstheme="minorBidi"/>
          <w:color w:val="1F497D" w:themeColor="text2"/>
          <w:spacing w:val="-4"/>
          <w:sz w:val="20"/>
          <w:lang w:eastAsia="en-US"/>
        </w:rPr>
        <w:t>March 2018</w:t>
      </w:r>
    </w:p>
    <w:tbl>
      <w:tblPr>
        <w:tblStyle w:val="TableGrid21"/>
        <w:tblW w:w="4998" w:type="pct"/>
        <w:tblLayout w:type="fixed"/>
        <w:tblLook w:val="04A0" w:firstRow="1" w:lastRow="0" w:firstColumn="1" w:lastColumn="0" w:noHBand="0" w:noVBand="1"/>
      </w:tblPr>
      <w:tblGrid>
        <w:gridCol w:w="2676"/>
        <w:gridCol w:w="908"/>
        <w:gridCol w:w="908"/>
        <w:gridCol w:w="908"/>
        <w:gridCol w:w="908"/>
        <w:gridCol w:w="906"/>
        <w:gridCol w:w="904"/>
        <w:gridCol w:w="904"/>
      </w:tblGrid>
      <w:tr w:rsidR="004772D9" w:rsidRPr="001244FE" w:rsidTr="004772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3" w:type="pct"/>
            <w:noWrap/>
            <w:hideMark/>
          </w:tcPr>
          <w:p w:rsidR="004772D9" w:rsidRPr="001244FE" w:rsidRDefault="004772D9" w:rsidP="00E60E7C">
            <w:pPr>
              <w:keepNext/>
              <w:keepLines/>
              <w:rPr>
                <w:rFonts w:asciiTheme="minorHAnsi" w:hAnsiTheme="minorHAnsi"/>
                <w:b/>
                <w:sz w:val="18"/>
                <w:szCs w:val="18"/>
              </w:rPr>
            </w:pPr>
          </w:p>
        </w:tc>
        <w:tc>
          <w:tcPr>
            <w:tcW w:w="503" w:type="pct"/>
          </w:tcPr>
          <w:p w:rsidR="004772D9" w:rsidRPr="00A14D88" w:rsidRDefault="004772D9"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A14D88">
              <w:rPr>
                <w:rFonts w:asciiTheme="minorHAnsi" w:hAnsiTheme="minorHAnsi"/>
                <w:b/>
                <w:sz w:val="18"/>
                <w:szCs w:val="18"/>
              </w:rPr>
              <w:t>2014–15</w:t>
            </w:r>
          </w:p>
          <w:p w:rsidR="004772D9" w:rsidRPr="00A14D88" w:rsidRDefault="004772D9"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A14D88">
              <w:rPr>
                <w:rFonts w:asciiTheme="minorHAnsi" w:hAnsiTheme="minorHAnsi"/>
                <w:b/>
                <w:sz w:val="18"/>
                <w:szCs w:val="18"/>
              </w:rPr>
              <w:t>Total</w:t>
            </w:r>
          </w:p>
        </w:tc>
        <w:tc>
          <w:tcPr>
            <w:tcW w:w="503" w:type="pct"/>
          </w:tcPr>
          <w:p w:rsidR="004772D9" w:rsidRPr="00A14D88" w:rsidRDefault="004772D9"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A14D88">
              <w:rPr>
                <w:rFonts w:asciiTheme="minorHAnsi" w:hAnsiTheme="minorHAnsi"/>
                <w:b/>
                <w:sz w:val="18"/>
                <w:szCs w:val="18"/>
              </w:rPr>
              <w:t>2015–16</w:t>
            </w:r>
          </w:p>
          <w:p w:rsidR="004772D9" w:rsidRPr="00A14D88" w:rsidRDefault="004772D9"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A14D88">
              <w:rPr>
                <w:rFonts w:asciiTheme="minorHAnsi" w:hAnsiTheme="minorHAnsi"/>
                <w:b/>
                <w:sz w:val="18"/>
                <w:szCs w:val="18"/>
              </w:rPr>
              <w:t>Total</w:t>
            </w:r>
          </w:p>
        </w:tc>
        <w:tc>
          <w:tcPr>
            <w:tcW w:w="503" w:type="pct"/>
          </w:tcPr>
          <w:p w:rsidR="004772D9" w:rsidRPr="00A14D88" w:rsidRDefault="004772D9" w:rsidP="005E7A3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A14D88">
              <w:rPr>
                <w:rFonts w:asciiTheme="minorHAnsi" w:hAnsiTheme="minorHAnsi"/>
                <w:b/>
                <w:sz w:val="18"/>
                <w:szCs w:val="18"/>
              </w:rPr>
              <w:t>2016–17</w:t>
            </w:r>
          </w:p>
          <w:p w:rsidR="004772D9" w:rsidRPr="00A14D88" w:rsidDel="00660E2F" w:rsidRDefault="004772D9"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A14D88">
              <w:rPr>
                <w:rFonts w:asciiTheme="minorHAnsi" w:hAnsiTheme="minorHAnsi"/>
                <w:b/>
                <w:sz w:val="18"/>
                <w:szCs w:val="18"/>
              </w:rPr>
              <w:t>Total</w:t>
            </w:r>
          </w:p>
        </w:tc>
        <w:tc>
          <w:tcPr>
            <w:tcW w:w="503" w:type="pct"/>
          </w:tcPr>
          <w:p w:rsidR="004772D9" w:rsidRPr="00A14D88" w:rsidRDefault="004772D9" w:rsidP="00660E2F">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A14D88">
              <w:rPr>
                <w:rFonts w:asciiTheme="minorHAnsi" w:hAnsiTheme="minorHAnsi"/>
                <w:b/>
                <w:sz w:val="18"/>
                <w:szCs w:val="18"/>
              </w:rPr>
              <w:t>2017–18</w:t>
            </w:r>
          </w:p>
          <w:p w:rsidR="004772D9" w:rsidRPr="003B1E80" w:rsidRDefault="004772D9"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A14D88">
              <w:rPr>
                <w:rFonts w:asciiTheme="minorHAnsi" w:hAnsiTheme="minorHAnsi"/>
                <w:b/>
                <w:sz w:val="18"/>
                <w:szCs w:val="18"/>
              </w:rPr>
              <w:t>Q1</w:t>
            </w:r>
          </w:p>
        </w:tc>
        <w:tc>
          <w:tcPr>
            <w:tcW w:w="502" w:type="pct"/>
          </w:tcPr>
          <w:p w:rsidR="004772D9" w:rsidRPr="00A14D88" w:rsidRDefault="004772D9" w:rsidP="00072581">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A14D88">
              <w:rPr>
                <w:rFonts w:asciiTheme="minorHAnsi" w:hAnsiTheme="minorHAnsi"/>
                <w:b/>
                <w:sz w:val="18"/>
                <w:szCs w:val="18"/>
              </w:rPr>
              <w:t>2017–18</w:t>
            </w:r>
          </w:p>
          <w:p w:rsidR="004772D9" w:rsidRPr="00A14D88" w:rsidRDefault="004772D9" w:rsidP="00072581">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A14D88">
              <w:rPr>
                <w:rFonts w:asciiTheme="minorHAnsi" w:hAnsiTheme="minorHAnsi"/>
                <w:b/>
                <w:sz w:val="18"/>
                <w:szCs w:val="18"/>
              </w:rPr>
              <w:t>Q</w:t>
            </w:r>
            <w:r>
              <w:rPr>
                <w:rFonts w:asciiTheme="minorHAnsi" w:hAnsiTheme="minorHAnsi"/>
                <w:b/>
                <w:sz w:val="18"/>
                <w:szCs w:val="18"/>
              </w:rPr>
              <w:t>2</w:t>
            </w:r>
          </w:p>
        </w:tc>
        <w:tc>
          <w:tcPr>
            <w:tcW w:w="501" w:type="pct"/>
          </w:tcPr>
          <w:p w:rsidR="004772D9" w:rsidRDefault="004772D9" w:rsidP="00341201">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2017-18</w:t>
            </w:r>
          </w:p>
          <w:p w:rsidR="004772D9" w:rsidRPr="00A14D88" w:rsidRDefault="004772D9" w:rsidP="004772D9">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Q3</w:t>
            </w:r>
          </w:p>
        </w:tc>
        <w:tc>
          <w:tcPr>
            <w:tcW w:w="501" w:type="pct"/>
          </w:tcPr>
          <w:p w:rsidR="004772D9" w:rsidRPr="00A14D88" w:rsidRDefault="004772D9" w:rsidP="003D28C1">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A14D88">
              <w:rPr>
                <w:rFonts w:asciiTheme="minorHAnsi" w:hAnsiTheme="minorHAnsi"/>
                <w:b/>
                <w:sz w:val="18"/>
                <w:szCs w:val="18"/>
              </w:rPr>
              <w:t>2017–18</w:t>
            </w:r>
          </w:p>
          <w:p w:rsidR="004772D9" w:rsidRPr="00A14D88" w:rsidRDefault="004772D9" w:rsidP="00072581">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Total</w:t>
            </w:r>
          </w:p>
        </w:tc>
      </w:tr>
      <w:tr w:rsidR="004772D9" w:rsidRPr="00B6426B" w:rsidTr="004772D9">
        <w:trPr>
          <w:cnfStyle w:val="000000100000" w:firstRow="0" w:lastRow="0" w:firstColumn="0" w:lastColumn="0" w:oddVBand="0" w:evenVBand="0" w:oddHBand="1" w:evenHBand="0" w:firstRowFirstColumn="0" w:firstRowLastColumn="0" w:lastRowFirstColumn="0" w:lastRowLastColumn="0"/>
          <w:trHeight w:hRule="exact" w:val="20"/>
        </w:trPr>
        <w:tc>
          <w:tcPr>
            <w:cnfStyle w:val="001000000000" w:firstRow="0" w:lastRow="0" w:firstColumn="1" w:lastColumn="0" w:oddVBand="0" w:evenVBand="0" w:oddHBand="0" w:evenHBand="0" w:firstRowFirstColumn="0" w:firstRowLastColumn="0" w:lastRowFirstColumn="0" w:lastRowLastColumn="0"/>
            <w:tcW w:w="1483" w:type="pct"/>
            <w:shd w:val="clear" w:color="auto" w:fill="2B3B5F"/>
            <w:noWrap/>
          </w:tcPr>
          <w:p w:rsidR="004772D9" w:rsidRPr="00D00268" w:rsidRDefault="004772D9" w:rsidP="00D00268">
            <w:pPr>
              <w:spacing w:line="240" w:lineRule="auto"/>
              <w:ind w:left="0"/>
              <w:rPr>
                <w:rFonts w:eastAsia="Calibri"/>
                <w:sz w:val="4"/>
                <w:szCs w:val="4"/>
              </w:rPr>
            </w:pPr>
          </w:p>
        </w:tc>
        <w:tc>
          <w:tcPr>
            <w:tcW w:w="503" w:type="pct"/>
            <w:shd w:val="clear" w:color="auto" w:fill="2B3B5F"/>
          </w:tcPr>
          <w:p w:rsidR="004772D9" w:rsidRPr="00583436" w:rsidRDefault="004772D9" w:rsidP="00D0026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4"/>
                <w:szCs w:val="4"/>
              </w:rPr>
            </w:pPr>
          </w:p>
        </w:tc>
        <w:tc>
          <w:tcPr>
            <w:tcW w:w="503" w:type="pct"/>
            <w:shd w:val="clear" w:color="auto" w:fill="2B3B5F"/>
          </w:tcPr>
          <w:p w:rsidR="004772D9" w:rsidRPr="00583436" w:rsidRDefault="004772D9" w:rsidP="00D00268">
            <w:pPr>
              <w:spacing w:line="240" w:lineRule="auto"/>
              <w:jc w:val="center"/>
              <w:cnfStyle w:val="000000100000" w:firstRow="0" w:lastRow="0" w:firstColumn="0" w:lastColumn="0" w:oddVBand="0" w:evenVBand="0" w:oddHBand="1" w:evenHBand="0" w:firstRowFirstColumn="0" w:firstRowLastColumn="0" w:lastRowFirstColumn="0" w:lastRowLastColumn="0"/>
              <w:rPr>
                <w:bCs/>
                <w:color w:val="000000"/>
                <w:sz w:val="4"/>
                <w:szCs w:val="4"/>
              </w:rPr>
            </w:pPr>
          </w:p>
        </w:tc>
        <w:tc>
          <w:tcPr>
            <w:tcW w:w="503" w:type="pct"/>
            <w:shd w:val="clear" w:color="auto" w:fill="2B3B5F"/>
          </w:tcPr>
          <w:p w:rsidR="004772D9" w:rsidRPr="00583436" w:rsidRDefault="004772D9" w:rsidP="00D00268">
            <w:pPr>
              <w:jc w:val="center"/>
              <w:cnfStyle w:val="000000100000" w:firstRow="0" w:lastRow="0" w:firstColumn="0" w:lastColumn="0" w:oddVBand="0" w:evenVBand="0" w:oddHBand="1" w:evenHBand="0" w:firstRowFirstColumn="0" w:firstRowLastColumn="0" w:lastRowFirstColumn="0" w:lastRowLastColumn="0"/>
              <w:rPr>
                <w:bCs/>
                <w:color w:val="000000"/>
                <w:sz w:val="4"/>
                <w:szCs w:val="4"/>
              </w:rPr>
            </w:pPr>
          </w:p>
        </w:tc>
        <w:tc>
          <w:tcPr>
            <w:tcW w:w="503" w:type="pct"/>
            <w:shd w:val="clear" w:color="auto" w:fill="2B3B5F"/>
          </w:tcPr>
          <w:p w:rsidR="004772D9" w:rsidRPr="00D00268" w:rsidRDefault="004772D9" w:rsidP="00D00268">
            <w:pPr>
              <w:spacing w:line="240" w:lineRule="auto"/>
              <w:jc w:val="center"/>
              <w:cnfStyle w:val="000000100000" w:firstRow="0" w:lastRow="0" w:firstColumn="0" w:lastColumn="0" w:oddVBand="0" w:evenVBand="0" w:oddHBand="1" w:evenHBand="0" w:firstRowFirstColumn="0" w:firstRowLastColumn="0" w:lastRowFirstColumn="0" w:lastRowLastColumn="0"/>
              <w:rPr>
                <w:bCs/>
                <w:color w:val="000000"/>
                <w:sz w:val="4"/>
                <w:szCs w:val="4"/>
              </w:rPr>
            </w:pPr>
          </w:p>
        </w:tc>
        <w:tc>
          <w:tcPr>
            <w:tcW w:w="502" w:type="pct"/>
            <w:shd w:val="clear" w:color="auto" w:fill="2B3B5F"/>
          </w:tcPr>
          <w:p w:rsidR="004772D9" w:rsidRPr="00D00268" w:rsidRDefault="004772D9" w:rsidP="00D00268">
            <w:pPr>
              <w:jc w:val="center"/>
              <w:cnfStyle w:val="000000100000" w:firstRow="0" w:lastRow="0" w:firstColumn="0" w:lastColumn="0" w:oddVBand="0" w:evenVBand="0" w:oddHBand="1" w:evenHBand="0" w:firstRowFirstColumn="0" w:firstRowLastColumn="0" w:lastRowFirstColumn="0" w:lastRowLastColumn="0"/>
              <w:rPr>
                <w:bCs/>
                <w:color w:val="000000"/>
                <w:sz w:val="4"/>
                <w:szCs w:val="4"/>
              </w:rPr>
            </w:pPr>
          </w:p>
        </w:tc>
        <w:tc>
          <w:tcPr>
            <w:tcW w:w="501" w:type="pct"/>
            <w:shd w:val="clear" w:color="auto" w:fill="2B3B5F"/>
          </w:tcPr>
          <w:p w:rsidR="004772D9" w:rsidRPr="00D00268" w:rsidRDefault="004772D9" w:rsidP="00D00268">
            <w:pPr>
              <w:jc w:val="center"/>
              <w:cnfStyle w:val="000000100000" w:firstRow="0" w:lastRow="0" w:firstColumn="0" w:lastColumn="0" w:oddVBand="0" w:evenVBand="0" w:oddHBand="1" w:evenHBand="0" w:firstRowFirstColumn="0" w:firstRowLastColumn="0" w:lastRowFirstColumn="0" w:lastRowLastColumn="0"/>
              <w:rPr>
                <w:bCs/>
                <w:color w:val="000000"/>
                <w:sz w:val="4"/>
                <w:szCs w:val="4"/>
              </w:rPr>
            </w:pPr>
          </w:p>
        </w:tc>
        <w:tc>
          <w:tcPr>
            <w:tcW w:w="501" w:type="pct"/>
            <w:shd w:val="clear" w:color="auto" w:fill="2B3B5F"/>
          </w:tcPr>
          <w:p w:rsidR="004772D9" w:rsidRPr="00D00268" w:rsidRDefault="004772D9" w:rsidP="00D00268">
            <w:pPr>
              <w:jc w:val="center"/>
              <w:cnfStyle w:val="000000100000" w:firstRow="0" w:lastRow="0" w:firstColumn="0" w:lastColumn="0" w:oddVBand="0" w:evenVBand="0" w:oddHBand="1" w:evenHBand="0" w:firstRowFirstColumn="0" w:firstRowLastColumn="0" w:lastRowFirstColumn="0" w:lastRowLastColumn="0"/>
              <w:rPr>
                <w:bCs/>
                <w:color w:val="000000"/>
                <w:sz w:val="4"/>
                <w:szCs w:val="4"/>
              </w:rPr>
            </w:pPr>
          </w:p>
        </w:tc>
      </w:tr>
      <w:tr w:rsidR="0051164C" w:rsidRPr="00B6426B" w:rsidTr="0051164C">
        <w:tc>
          <w:tcPr>
            <w:cnfStyle w:val="001000000000" w:firstRow="0" w:lastRow="0" w:firstColumn="1" w:lastColumn="0" w:oddVBand="0" w:evenVBand="0" w:oddHBand="0" w:evenHBand="0" w:firstRowFirstColumn="0" w:firstRowLastColumn="0" w:lastRowFirstColumn="0" w:lastRowLastColumn="0"/>
            <w:tcW w:w="1483" w:type="pct"/>
            <w:noWrap/>
            <w:hideMark/>
          </w:tcPr>
          <w:p w:rsidR="0051164C" w:rsidRPr="001244FE" w:rsidRDefault="0051164C" w:rsidP="00E60E7C">
            <w:pPr>
              <w:rPr>
                <w:rFonts w:asciiTheme="minorHAnsi" w:hAnsiTheme="minorHAnsi"/>
                <w:sz w:val="18"/>
                <w:szCs w:val="18"/>
              </w:rPr>
            </w:pPr>
            <w:r>
              <w:rPr>
                <w:rFonts w:eastAsia="Calibri"/>
                <w:sz w:val="18"/>
                <w:szCs w:val="18"/>
              </w:rPr>
              <w:t xml:space="preserve">Requests outstanding at start of </w:t>
            </w:r>
            <w:r w:rsidRPr="00FF6FE9">
              <w:rPr>
                <w:rFonts w:eastAsia="Calibri"/>
                <w:sz w:val="18"/>
                <w:szCs w:val="18"/>
              </w:rPr>
              <w:t>period</w:t>
            </w:r>
          </w:p>
        </w:tc>
        <w:tc>
          <w:tcPr>
            <w:tcW w:w="503" w:type="pct"/>
          </w:tcPr>
          <w:p w:rsidR="0051164C" w:rsidRPr="00583436" w:rsidRDefault="0051164C" w:rsidP="00E60E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r w:rsidRPr="00583436">
              <w:rPr>
                <w:rFonts w:asciiTheme="minorHAnsi" w:hAnsiTheme="minorHAnsi" w:cs="Arial"/>
                <w:bCs/>
                <w:sz w:val="18"/>
                <w:szCs w:val="18"/>
              </w:rPr>
              <w:t>16</w:t>
            </w:r>
          </w:p>
        </w:tc>
        <w:tc>
          <w:tcPr>
            <w:tcW w:w="503" w:type="pct"/>
          </w:tcPr>
          <w:p w:rsidR="0051164C" w:rsidRPr="00583436" w:rsidRDefault="0051164C" w:rsidP="00E60E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r w:rsidRPr="00583436">
              <w:rPr>
                <w:bCs/>
                <w:color w:val="000000"/>
                <w:sz w:val="18"/>
                <w:szCs w:val="18"/>
              </w:rPr>
              <w:t>3</w:t>
            </w:r>
          </w:p>
        </w:tc>
        <w:tc>
          <w:tcPr>
            <w:tcW w:w="503" w:type="pct"/>
          </w:tcPr>
          <w:p w:rsidR="0051164C" w:rsidRPr="00583436" w:rsidDel="00660E2F" w:rsidRDefault="0051164C"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sidRPr="00583436">
              <w:rPr>
                <w:bCs/>
                <w:color w:val="000000"/>
                <w:sz w:val="18"/>
                <w:szCs w:val="18"/>
              </w:rPr>
              <w:t>1</w:t>
            </w:r>
          </w:p>
        </w:tc>
        <w:tc>
          <w:tcPr>
            <w:tcW w:w="503" w:type="pct"/>
          </w:tcPr>
          <w:p w:rsidR="0051164C" w:rsidRPr="007C1A69" w:rsidRDefault="0051164C"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16</w:t>
            </w:r>
          </w:p>
        </w:tc>
        <w:tc>
          <w:tcPr>
            <w:tcW w:w="502" w:type="pct"/>
          </w:tcPr>
          <w:p w:rsidR="0051164C" w:rsidRDefault="0051164C"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13</w:t>
            </w:r>
          </w:p>
        </w:tc>
        <w:tc>
          <w:tcPr>
            <w:tcW w:w="501" w:type="pct"/>
          </w:tcPr>
          <w:p w:rsidR="0051164C" w:rsidRDefault="0051164C"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74</w:t>
            </w:r>
          </w:p>
        </w:tc>
        <w:tc>
          <w:tcPr>
            <w:tcW w:w="501" w:type="pct"/>
          </w:tcPr>
          <w:p w:rsidR="0051164C" w:rsidRPr="0051164C" w:rsidRDefault="0051164C" w:rsidP="0051164C">
            <w:pPr>
              <w:jc w:val="center"/>
              <w:cnfStyle w:val="000000000000" w:firstRow="0" w:lastRow="0" w:firstColumn="0" w:lastColumn="0" w:oddVBand="0" w:evenVBand="0" w:oddHBand="0" w:evenHBand="0" w:firstRowFirstColumn="0" w:firstRowLastColumn="0" w:lastRowFirstColumn="0" w:lastRowLastColumn="0"/>
              <w:rPr>
                <w:sz w:val="18"/>
              </w:rPr>
            </w:pPr>
            <w:r w:rsidRPr="0051164C">
              <w:rPr>
                <w:sz w:val="18"/>
              </w:rPr>
              <w:t>16</w:t>
            </w:r>
          </w:p>
        </w:tc>
      </w:tr>
      <w:tr w:rsidR="0051164C" w:rsidRPr="00B6426B" w:rsidTr="00511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pct"/>
            <w:noWrap/>
            <w:hideMark/>
          </w:tcPr>
          <w:p w:rsidR="0051164C" w:rsidRPr="001244FE" w:rsidRDefault="0051164C" w:rsidP="00E60E7C">
            <w:pPr>
              <w:rPr>
                <w:rFonts w:asciiTheme="minorHAnsi" w:hAnsiTheme="minorHAnsi"/>
                <w:sz w:val="18"/>
                <w:szCs w:val="18"/>
              </w:rPr>
            </w:pPr>
            <w:r w:rsidRPr="001244FE">
              <w:rPr>
                <w:rFonts w:asciiTheme="minorHAnsi" w:hAnsiTheme="minorHAnsi"/>
                <w:sz w:val="18"/>
                <w:szCs w:val="18"/>
              </w:rPr>
              <w:t>Requests sent in period</w:t>
            </w:r>
          </w:p>
        </w:tc>
        <w:tc>
          <w:tcPr>
            <w:tcW w:w="503" w:type="pct"/>
          </w:tcPr>
          <w:p w:rsidR="0051164C" w:rsidRPr="00583436" w:rsidRDefault="0051164C"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r w:rsidRPr="00583436">
              <w:rPr>
                <w:rFonts w:asciiTheme="minorHAnsi" w:hAnsiTheme="minorHAnsi" w:cs="Arial"/>
                <w:bCs/>
                <w:sz w:val="18"/>
                <w:szCs w:val="18"/>
              </w:rPr>
              <w:t>203</w:t>
            </w:r>
          </w:p>
        </w:tc>
        <w:tc>
          <w:tcPr>
            <w:tcW w:w="503" w:type="pct"/>
          </w:tcPr>
          <w:p w:rsidR="0051164C" w:rsidRPr="00583436" w:rsidRDefault="0051164C"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r w:rsidRPr="00583436">
              <w:rPr>
                <w:bCs/>
                <w:color w:val="000000"/>
                <w:sz w:val="18"/>
                <w:szCs w:val="18"/>
              </w:rPr>
              <w:t>743</w:t>
            </w:r>
          </w:p>
        </w:tc>
        <w:tc>
          <w:tcPr>
            <w:tcW w:w="503" w:type="pct"/>
          </w:tcPr>
          <w:p w:rsidR="0051164C" w:rsidRPr="00583436" w:rsidDel="00660E2F" w:rsidRDefault="0051164C"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523</w:t>
            </w:r>
          </w:p>
        </w:tc>
        <w:tc>
          <w:tcPr>
            <w:tcW w:w="503" w:type="pct"/>
          </w:tcPr>
          <w:p w:rsidR="0051164C" w:rsidRPr="007C1A69" w:rsidRDefault="0051164C"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57</w:t>
            </w:r>
          </w:p>
        </w:tc>
        <w:tc>
          <w:tcPr>
            <w:tcW w:w="502" w:type="pct"/>
          </w:tcPr>
          <w:p w:rsidR="0051164C" w:rsidRDefault="0051164C"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143</w:t>
            </w:r>
          </w:p>
        </w:tc>
        <w:tc>
          <w:tcPr>
            <w:tcW w:w="501" w:type="pct"/>
          </w:tcPr>
          <w:p w:rsidR="0051164C" w:rsidRDefault="0051164C" w:rsidP="0041391A">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41391A">
              <w:rPr>
                <w:bCs/>
                <w:color w:val="000000"/>
                <w:sz w:val="18"/>
                <w:szCs w:val="18"/>
              </w:rPr>
              <w:t>56</w:t>
            </w:r>
          </w:p>
        </w:tc>
        <w:tc>
          <w:tcPr>
            <w:tcW w:w="501" w:type="pct"/>
          </w:tcPr>
          <w:p w:rsidR="0051164C" w:rsidRPr="0051164C" w:rsidRDefault="0051164C" w:rsidP="0051164C">
            <w:pPr>
              <w:jc w:val="center"/>
              <w:cnfStyle w:val="000000100000" w:firstRow="0" w:lastRow="0" w:firstColumn="0" w:lastColumn="0" w:oddVBand="0" w:evenVBand="0" w:oddHBand="1" w:evenHBand="0" w:firstRowFirstColumn="0" w:firstRowLastColumn="0" w:lastRowFirstColumn="0" w:lastRowLastColumn="0"/>
              <w:rPr>
                <w:sz w:val="18"/>
              </w:rPr>
            </w:pPr>
            <w:r w:rsidRPr="0051164C">
              <w:rPr>
                <w:sz w:val="18"/>
              </w:rPr>
              <w:t>256</w:t>
            </w:r>
          </w:p>
        </w:tc>
      </w:tr>
      <w:tr w:rsidR="0051164C" w:rsidRPr="00B6426B" w:rsidTr="0051164C">
        <w:tc>
          <w:tcPr>
            <w:cnfStyle w:val="001000000000" w:firstRow="0" w:lastRow="0" w:firstColumn="1" w:lastColumn="0" w:oddVBand="0" w:evenVBand="0" w:oddHBand="0" w:evenHBand="0" w:firstRowFirstColumn="0" w:firstRowLastColumn="0" w:lastRowFirstColumn="0" w:lastRowLastColumn="0"/>
            <w:tcW w:w="1483" w:type="pct"/>
            <w:noWrap/>
            <w:hideMark/>
          </w:tcPr>
          <w:p w:rsidR="0051164C" w:rsidRPr="001244FE" w:rsidRDefault="0051164C" w:rsidP="005E40C5">
            <w:pPr>
              <w:rPr>
                <w:rFonts w:asciiTheme="minorHAnsi" w:hAnsiTheme="minorHAnsi"/>
                <w:sz w:val="18"/>
                <w:szCs w:val="18"/>
              </w:rPr>
            </w:pPr>
            <w:r w:rsidRPr="001244FE">
              <w:rPr>
                <w:rFonts w:asciiTheme="minorHAnsi" w:hAnsiTheme="minorHAnsi"/>
                <w:sz w:val="18"/>
                <w:szCs w:val="18"/>
              </w:rPr>
              <w:t>Re</w:t>
            </w:r>
            <w:r>
              <w:rPr>
                <w:rFonts w:asciiTheme="minorHAnsi" w:hAnsiTheme="minorHAnsi"/>
                <w:sz w:val="18"/>
                <w:szCs w:val="18"/>
              </w:rPr>
              <w:t>sponses</w:t>
            </w:r>
            <w:r w:rsidRPr="001244FE">
              <w:rPr>
                <w:rFonts w:asciiTheme="minorHAnsi" w:hAnsiTheme="minorHAnsi"/>
                <w:sz w:val="18"/>
                <w:szCs w:val="18"/>
              </w:rPr>
              <w:t xml:space="preserve"> received in period</w:t>
            </w:r>
          </w:p>
        </w:tc>
        <w:tc>
          <w:tcPr>
            <w:tcW w:w="503" w:type="pct"/>
          </w:tcPr>
          <w:p w:rsidR="0051164C" w:rsidRPr="00583436" w:rsidRDefault="0051164C" w:rsidP="00E60E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r w:rsidRPr="00583436">
              <w:rPr>
                <w:rFonts w:asciiTheme="minorHAnsi" w:hAnsiTheme="minorHAnsi" w:cs="Arial"/>
                <w:bCs/>
                <w:sz w:val="18"/>
                <w:szCs w:val="18"/>
              </w:rPr>
              <w:t>216</w:t>
            </w:r>
          </w:p>
        </w:tc>
        <w:tc>
          <w:tcPr>
            <w:tcW w:w="503" w:type="pct"/>
          </w:tcPr>
          <w:p w:rsidR="0051164C" w:rsidRPr="00583436" w:rsidRDefault="0051164C" w:rsidP="00E60E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r w:rsidRPr="00583436">
              <w:rPr>
                <w:bCs/>
                <w:color w:val="000000"/>
                <w:sz w:val="18"/>
                <w:szCs w:val="18"/>
              </w:rPr>
              <w:t>745</w:t>
            </w:r>
          </w:p>
        </w:tc>
        <w:tc>
          <w:tcPr>
            <w:tcW w:w="503" w:type="pct"/>
          </w:tcPr>
          <w:p w:rsidR="0051164C" w:rsidRPr="00583436" w:rsidDel="00660E2F" w:rsidRDefault="0051164C"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508</w:t>
            </w:r>
          </w:p>
        </w:tc>
        <w:tc>
          <w:tcPr>
            <w:tcW w:w="503" w:type="pct"/>
          </w:tcPr>
          <w:p w:rsidR="0051164C" w:rsidRPr="007C1A69" w:rsidRDefault="0051164C"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60</w:t>
            </w:r>
          </w:p>
        </w:tc>
        <w:tc>
          <w:tcPr>
            <w:tcW w:w="502" w:type="pct"/>
          </w:tcPr>
          <w:p w:rsidR="0051164C" w:rsidRDefault="0051164C"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82</w:t>
            </w:r>
          </w:p>
        </w:tc>
        <w:tc>
          <w:tcPr>
            <w:tcW w:w="501" w:type="pct"/>
          </w:tcPr>
          <w:p w:rsidR="0051164C" w:rsidRDefault="0051164C" w:rsidP="0041391A">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sidRPr="0041391A">
              <w:rPr>
                <w:bCs/>
                <w:color w:val="000000"/>
                <w:sz w:val="18"/>
                <w:szCs w:val="18"/>
              </w:rPr>
              <w:t>123</w:t>
            </w:r>
          </w:p>
        </w:tc>
        <w:tc>
          <w:tcPr>
            <w:tcW w:w="501" w:type="pct"/>
          </w:tcPr>
          <w:p w:rsidR="0051164C" w:rsidRPr="0051164C" w:rsidRDefault="0051164C" w:rsidP="0051164C">
            <w:pPr>
              <w:jc w:val="center"/>
              <w:cnfStyle w:val="000000000000" w:firstRow="0" w:lastRow="0" w:firstColumn="0" w:lastColumn="0" w:oddVBand="0" w:evenVBand="0" w:oddHBand="0" w:evenHBand="0" w:firstRowFirstColumn="0" w:firstRowLastColumn="0" w:lastRowFirstColumn="0" w:lastRowLastColumn="0"/>
              <w:rPr>
                <w:sz w:val="18"/>
              </w:rPr>
            </w:pPr>
            <w:r w:rsidRPr="0051164C">
              <w:rPr>
                <w:sz w:val="18"/>
              </w:rPr>
              <w:t>265</w:t>
            </w:r>
          </w:p>
        </w:tc>
      </w:tr>
      <w:tr w:rsidR="0051164C" w:rsidRPr="00B6426B" w:rsidTr="00511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pct"/>
            <w:noWrap/>
            <w:hideMark/>
          </w:tcPr>
          <w:p w:rsidR="0051164C" w:rsidRPr="00A14D88" w:rsidRDefault="0051164C" w:rsidP="00E60E7C">
            <w:pPr>
              <w:ind w:left="426"/>
              <w:rPr>
                <w:rFonts w:asciiTheme="minorHAnsi" w:hAnsiTheme="minorHAnsi"/>
                <w:sz w:val="18"/>
                <w:szCs w:val="18"/>
              </w:rPr>
            </w:pPr>
            <w:r>
              <w:rPr>
                <w:rFonts w:asciiTheme="minorHAnsi" w:hAnsiTheme="minorHAnsi"/>
                <w:sz w:val="18"/>
                <w:szCs w:val="18"/>
              </w:rPr>
              <w:t>Responses</w:t>
            </w:r>
            <w:r w:rsidRPr="00A14D88">
              <w:rPr>
                <w:rFonts w:asciiTheme="minorHAnsi" w:hAnsiTheme="minorHAnsi"/>
                <w:sz w:val="18"/>
                <w:szCs w:val="18"/>
              </w:rPr>
              <w:t xml:space="preserve"> received by due date</w:t>
            </w:r>
          </w:p>
        </w:tc>
        <w:tc>
          <w:tcPr>
            <w:tcW w:w="503" w:type="pct"/>
          </w:tcPr>
          <w:p w:rsidR="0051164C" w:rsidRPr="00A14D88" w:rsidRDefault="0051164C"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r w:rsidRPr="00A14D88">
              <w:rPr>
                <w:rFonts w:asciiTheme="minorHAnsi" w:hAnsiTheme="minorHAnsi" w:cs="Arial"/>
                <w:bCs/>
                <w:sz w:val="18"/>
                <w:szCs w:val="18"/>
              </w:rPr>
              <w:t>147</w:t>
            </w:r>
          </w:p>
        </w:tc>
        <w:tc>
          <w:tcPr>
            <w:tcW w:w="503" w:type="pct"/>
          </w:tcPr>
          <w:p w:rsidR="0051164C" w:rsidRPr="00A14D88" w:rsidRDefault="0051164C"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r w:rsidRPr="00A14D88">
              <w:rPr>
                <w:bCs/>
                <w:color w:val="000000"/>
                <w:sz w:val="18"/>
                <w:szCs w:val="18"/>
              </w:rPr>
              <w:t>695</w:t>
            </w:r>
          </w:p>
        </w:tc>
        <w:tc>
          <w:tcPr>
            <w:tcW w:w="503" w:type="pct"/>
          </w:tcPr>
          <w:p w:rsidR="0051164C" w:rsidRPr="00A14D88" w:rsidDel="00660E2F" w:rsidRDefault="0051164C"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A14D88">
              <w:rPr>
                <w:bCs/>
                <w:color w:val="000000"/>
                <w:sz w:val="18"/>
                <w:szCs w:val="18"/>
              </w:rPr>
              <w:t>499</w:t>
            </w:r>
          </w:p>
        </w:tc>
        <w:tc>
          <w:tcPr>
            <w:tcW w:w="503" w:type="pct"/>
          </w:tcPr>
          <w:p w:rsidR="0051164C" w:rsidRPr="00A14D88" w:rsidRDefault="0051164C"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A14D88">
              <w:rPr>
                <w:bCs/>
                <w:color w:val="000000"/>
                <w:sz w:val="18"/>
                <w:szCs w:val="18"/>
              </w:rPr>
              <w:t>57</w:t>
            </w:r>
          </w:p>
        </w:tc>
        <w:tc>
          <w:tcPr>
            <w:tcW w:w="502" w:type="pct"/>
          </w:tcPr>
          <w:p w:rsidR="0051164C" w:rsidRPr="00A14D88" w:rsidRDefault="0051164C"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81</w:t>
            </w:r>
          </w:p>
        </w:tc>
        <w:tc>
          <w:tcPr>
            <w:tcW w:w="501" w:type="pct"/>
          </w:tcPr>
          <w:p w:rsidR="0051164C" w:rsidRDefault="0051164C" w:rsidP="0041391A">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41391A">
              <w:rPr>
                <w:bCs/>
                <w:color w:val="000000"/>
                <w:sz w:val="18"/>
                <w:szCs w:val="18"/>
              </w:rPr>
              <w:t>123</w:t>
            </w:r>
          </w:p>
        </w:tc>
        <w:tc>
          <w:tcPr>
            <w:tcW w:w="501" w:type="pct"/>
          </w:tcPr>
          <w:p w:rsidR="0051164C" w:rsidRPr="0051164C" w:rsidRDefault="0051164C" w:rsidP="0051164C">
            <w:pPr>
              <w:jc w:val="center"/>
              <w:cnfStyle w:val="000000100000" w:firstRow="0" w:lastRow="0" w:firstColumn="0" w:lastColumn="0" w:oddVBand="0" w:evenVBand="0" w:oddHBand="1" w:evenHBand="0" w:firstRowFirstColumn="0" w:firstRowLastColumn="0" w:lastRowFirstColumn="0" w:lastRowLastColumn="0"/>
              <w:rPr>
                <w:sz w:val="18"/>
              </w:rPr>
            </w:pPr>
            <w:r w:rsidRPr="0051164C">
              <w:rPr>
                <w:sz w:val="18"/>
              </w:rPr>
              <w:t>261</w:t>
            </w:r>
          </w:p>
        </w:tc>
      </w:tr>
      <w:tr w:rsidR="0051164C" w:rsidRPr="00B6426B" w:rsidTr="0051164C">
        <w:tc>
          <w:tcPr>
            <w:cnfStyle w:val="001000000000" w:firstRow="0" w:lastRow="0" w:firstColumn="1" w:lastColumn="0" w:oddVBand="0" w:evenVBand="0" w:oddHBand="0" w:evenHBand="0" w:firstRowFirstColumn="0" w:firstRowLastColumn="0" w:lastRowFirstColumn="0" w:lastRowLastColumn="0"/>
            <w:tcW w:w="1483" w:type="pct"/>
            <w:noWrap/>
            <w:hideMark/>
          </w:tcPr>
          <w:p w:rsidR="0051164C" w:rsidRPr="00A14D88" w:rsidRDefault="0051164C" w:rsidP="00E60E7C">
            <w:pPr>
              <w:ind w:left="426"/>
              <w:rPr>
                <w:rFonts w:asciiTheme="minorHAnsi" w:hAnsiTheme="minorHAnsi"/>
                <w:sz w:val="18"/>
                <w:szCs w:val="18"/>
              </w:rPr>
            </w:pPr>
            <w:r>
              <w:rPr>
                <w:rFonts w:asciiTheme="minorHAnsi" w:hAnsiTheme="minorHAnsi"/>
                <w:sz w:val="18"/>
                <w:szCs w:val="18"/>
              </w:rPr>
              <w:t>Responses</w:t>
            </w:r>
            <w:r w:rsidRPr="00A14D88">
              <w:rPr>
                <w:rFonts w:asciiTheme="minorHAnsi" w:hAnsiTheme="minorHAnsi"/>
                <w:sz w:val="18"/>
                <w:szCs w:val="18"/>
              </w:rPr>
              <w:t xml:space="preserve"> received after due date</w:t>
            </w:r>
          </w:p>
        </w:tc>
        <w:tc>
          <w:tcPr>
            <w:tcW w:w="503" w:type="pct"/>
          </w:tcPr>
          <w:p w:rsidR="0051164C" w:rsidRPr="00A14D88" w:rsidRDefault="0051164C" w:rsidP="00E60E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r w:rsidRPr="00A14D88">
              <w:rPr>
                <w:rFonts w:asciiTheme="minorHAnsi" w:hAnsiTheme="minorHAnsi" w:cs="Arial"/>
                <w:bCs/>
                <w:sz w:val="18"/>
                <w:szCs w:val="18"/>
              </w:rPr>
              <w:t>69</w:t>
            </w:r>
          </w:p>
        </w:tc>
        <w:tc>
          <w:tcPr>
            <w:tcW w:w="503" w:type="pct"/>
          </w:tcPr>
          <w:p w:rsidR="0051164C" w:rsidRPr="00A14D88" w:rsidRDefault="0051164C"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sidRPr="00A14D88">
              <w:rPr>
                <w:bCs/>
                <w:color w:val="000000"/>
                <w:sz w:val="18"/>
                <w:szCs w:val="18"/>
              </w:rPr>
              <w:t>50</w:t>
            </w:r>
          </w:p>
        </w:tc>
        <w:tc>
          <w:tcPr>
            <w:tcW w:w="503" w:type="pct"/>
          </w:tcPr>
          <w:p w:rsidR="0051164C" w:rsidRPr="00A14D88" w:rsidDel="00660E2F" w:rsidRDefault="0051164C"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sidRPr="00A14D88">
              <w:rPr>
                <w:bCs/>
                <w:color w:val="000000"/>
                <w:sz w:val="18"/>
                <w:szCs w:val="18"/>
              </w:rPr>
              <w:t>9</w:t>
            </w:r>
          </w:p>
        </w:tc>
        <w:tc>
          <w:tcPr>
            <w:tcW w:w="503" w:type="pct"/>
          </w:tcPr>
          <w:p w:rsidR="0051164C" w:rsidRPr="00A14D88" w:rsidRDefault="0051164C"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sidRPr="00A14D88">
              <w:rPr>
                <w:bCs/>
                <w:color w:val="000000"/>
                <w:sz w:val="18"/>
                <w:szCs w:val="18"/>
              </w:rPr>
              <w:t>3</w:t>
            </w:r>
          </w:p>
        </w:tc>
        <w:tc>
          <w:tcPr>
            <w:tcW w:w="502" w:type="pct"/>
          </w:tcPr>
          <w:p w:rsidR="0051164C" w:rsidRPr="00A14D88" w:rsidRDefault="0051164C"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1</w:t>
            </w:r>
          </w:p>
        </w:tc>
        <w:tc>
          <w:tcPr>
            <w:tcW w:w="501" w:type="pct"/>
          </w:tcPr>
          <w:p w:rsidR="0051164C" w:rsidRDefault="0051164C" w:rsidP="0041391A">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sidRPr="0041391A">
              <w:rPr>
                <w:bCs/>
                <w:color w:val="000000"/>
                <w:sz w:val="18"/>
                <w:szCs w:val="18"/>
              </w:rPr>
              <w:t>0</w:t>
            </w:r>
          </w:p>
        </w:tc>
        <w:tc>
          <w:tcPr>
            <w:tcW w:w="501" w:type="pct"/>
          </w:tcPr>
          <w:p w:rsidR="0051164C" w:rsidRPr="0051164C" w:rsidRDefault="0051164C" w:rsidP="0051164C">
            <w:pPr>
              <w:jc w:val="center"/>
              <w:cnfStyle w:val="000000000000" w:firstRow="0" w:lastRow="0" w:firstColumn="0" w:lastColumn="0" w:oddVBand="0" w:evenVBand="0" w:oddHBand="0" w:evenHBand="0" w:firstRowFirstColumn="0" w:firstRowLastColumn="0" w:lastRowFirstColumn="0" w:lastRowLastColumn="0"/>
              <w:rPr>
                <w:sz w:val="18"/>
              </w:rPr>
            </w:pPr>
            <w:r w:rsidRPr="0051164C">
              <w:rPr>
                <w:sz w:val="18"/>
              </w:rPr>
              <w:t>4</w:t>
            </w:r>
          </w:p>
        </w:tc>
      </w:tr>
      <w:tr w:rsidR="0051164C" w:rsidRPr="00B6426B" w:rsidTr="00511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pct"/>
            <w:noWrap/>
          </w:tcPr>
          <w:p w:rsidR="0051164C" w:rsidRPr="001244FE" w:rsidRDefault="0051164C" w:rsidP="00E60E7C">
            <w:pPr>
              <w:ind w:left="142"/>
              <w:rPr>
                <w:rFonts w:asciiTheme="minorHAnsi" w:hAnsiTheme="minorHAnsi"/>
                <w:sz w:val="18"/>
                <w:szCs w:val="18"/>
              </w:rPr>
            </w:pPr>
            <w:r>
              <w:rPr>
                <w:rFonts w:asciiTheme="minorHAnsi" w:hAnsiTheme="minorHAnsi"/>
                <w:sz w:val="18"/>
                <w:szCs w:val="18"/>
              </w:rPr>
              <w:t>Percentage late (%)</w:t>
            </w:r>
          </w:p>
        </w:tc>
        <w:tc>
          <w:tcPr>
            <w:tcW w:w="503" w:type="pct"/>
          </w:tcPr>
          <w:p w:rsidR="0051164C" w:rsidRPr="00583436" w:rsidRDefault="0051164C"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r>
              <w:rPr>
                <w:rFonts w:asciiTheme="minorHAnsi" w:hAnsiTheme="minorHAnsi" w:cs="Arial"/>
                <w:bCs/>
                <w:sz w:val="18"/>
                <w:szCs w:val="18"/>
              </w:rPr>
              <w:t>32</w:t>
            </w:r>
          </w:p>
        </w:tc>
        <w:tc>
          <w:tcPr>
            <w:tcW w:w="503" w:type="pct"/>
          </w:tcPr>
          <w:p w:rsidR="0051164C" w:rsidRPr="00583436" w:rsidRDefault="0051164C"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7</w:t>
            </w:r>
          </w:p>
        </w:tc>
        <w:tc>
          <w:tcPr>
            <w:tcW w:w="503" w:type="pct"/>
          </w:tcPr>
          <w:p w:rsidR="0051164C" w:rsidRPr="00583436" w:rsidDel="00660E2F" w:rsidRDefault="0051164C"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2</w:t>
            </w:r>
          </w:p>
        </w:tc>
        <w:tc>
          <w:tcPr>
            <w:tcW w:w="503" w:type="pct"/>
          </w:tcPr>
          <w:p w:rsidR="0051164C" w:rsidRPr="007C1A69" w:rsidRDefault="0051164C"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5</w:t>
            </w:r>
          </w:p>
        </w:tc>
        <w:tc>
          <w:tcPr>
            <w:tcW w:w="502" w:type="pct"/>
          </w:tcPr>
          <w:p w:rsidR="0051164C" w:rsidRDefault="0051164C"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1</w:t>
            </w:r>
          </w:p>
        </w:tc>
        <w:tc>
          <w:tcPr>
            <w:tcW w:w="501" w:type="pct"/>
          </w:tcPr>
          <w:p w:rsidR="0051164C" w:rsidRDefault="005D1256" w:rsidP="0041391A">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0</w:t>
            </w:r>
          </w:p>
        </w:tc>
        <w:tc>
          <w:tcPr>
            <w:tcW w:w="501" w:type="pct"/>
          </w:tcPr>
          <w:p w:rsidR="0051164C" w:rsidRPr="0051164C" w:rsidRDefault="005D1256" w:rsidP="0051164C">
            <w:pPr>
              <w:jc w:val="center"/>
              <w:cnfStyle w:val="000000100000" w:firstRow="0" w:lastRow="0" w:firstColumn="0" w:lastColumn="0" w:oddVBand="0" w:evenVBand="0" w:oddHBand="1" w:evenHBand="0" w:firstRowFirstColumn="0" w:firstRowLastColumn="0" w:lastRowFirstColumn="0" w:lastRowLastColumn="0"/>
              <w:rPr>
                <w:sz w:val="18"/>
              </w:rPr>
            </w:pPr>
            <w:r>
              <w:rPr>
                <w:sz w:val="18"/>
              </w:rPr>
              <w:t>2</w:t>
            </w:r>
          </w:p>
        </w:tc>
      </w:tr>
      <w:tr w:rsidR="0051164C" w:rsidRPr="00B6426B" w:rsidTr="0051164C">
        <w:tc>
          <w:tcPr>
            <w:cnfStyle w:val="001000000000" w:firstRow="0" w:lastRow="0" w:firstColumn="1" w:lastColumn="0" w:oddVBand="0" w:evenVBand="0" w:oddHBand="0" w:evenHBand="0" w:firstRowFirstColumn="0" w:firstRowLastColumn="0" w:lastRowFirstColumn="0" w:lastRowLastColumn="0"/>
            <w:tcW w:w="1483" w:type="pct"/>
            <w:noWrap/>
            <w:hideMark/>
          </w:tcPr>
          <w:p w:rsidR="0051164C" w:rsidRPr="001244FE" w:rsidRDefault="0051164C" w:rsidP="00583436">
            <w:pPr>
              <w:rPr>
                <w:rFonts w:asciiTheme="minorHAnsi" w:hAnsiTheme="minorHAnsi"/>
                <w:sz w:val="18"/>
                <w:szCs w:val="18"/>
              </w:rPr>
            </w:pPr>
            <w:r w:rsidRPr="001244FE">
              <w:rPr>
                <w:rFonts w:asciiTheme="minorHAnsi" w:hAnsiTheme="minorHAnsi"/>
                <w:sz w:val="18"/>
                <w:szCs w:val="18"/>
              </w:rPr>
              <w:t>Average time taken to respond</w:t>
            </w:r>
            <w:r>
              <w:rPr>
                <w:rFonts w:asciiTheme="minorHAnsi" w:hAnsiTheme="minorHAnsi"/>
                <w:sz w:val="18"/>
                <w:szCs w:val="18"/>
              </w:rPr>
              <w:br/>
            </w:r>
            <w:r w:rsidRPr="001244FE">
              <w:rPr>
                <w:rFonts w:asciiTheme="minorHAnsi" w:hAnsiTheme="minorHAnsi"/>
                <w:sz w:val="18"/>
                <w:szCs w:val="18"/>
              </w:rPr>
              <w:t>(business days)</w:t>
            </w:r>
          </w:p>
        </w:tc>
        <w:tc>
          <w:tcPr>
            <w:tcW w:w="503" w:type="pct"/>
          </w:tcPr>
          <w:p w:rsidR="0051164C" w:rsidRPr="00583436" w:rsidRDefault="0051164C" w:rsidP="00C750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r>
              <w:rPr>
                <w:rFonts w:asciiTheme="minorHAnsi" w:hAnsiTheme="minorHAnsi" w:cs="Arial"/>
                <w:bCs/>
                <w:sz w:val="18"/>
                <w:szCs w:val="18"/>
              </w:rPr>
              <w:t>13</w:t>
            </w:r>
          </w:p>
        </w:tc>
        <w:tc>
          <w:tcPr>
            <w:tcW w:w="503" w:type="pct"/>
          </w:tcPr>
          <w:p w:rsidR="0051164C" w:rsidRPr="00583436" w:rsidRDefault="0051164C"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7</w:t>
            </w:r>
          </w:p>
        </w:tc>
        <w:tc>
          <w:tcPr>
            <w:tcW w:w="503" w:type="pct"/>
          </w:tcPr>
          <w:p w:rsidR="0051164C" w:rsidRPr="00583436" w:rsidDel="00660E2F" w:rsidRDefault="0051164C"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8</w:t>
            </w:r>
          </w:p>
        </w:tc>
        <w:tc>
          <w:tcPr>
            <w:tcW w:w="503" w:type="pct"/>
          </w:tcPr>
          <w:p w:rsidR="0051164C" w:rsidRPr="007C1A69" w:rsidRDefault="0051164C"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16</w:t>
            </w:r>
          </w:p>
        </w:tc>
        <w:tc>
          <w:tcPr>
            <w:tcW w:w="502" w:type="pct"/>
          </w:tcPr>
          <w:p w:rsidR="0051164C" w:rsidRDefault="0051164C"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6</w:t>
            </w:r>
          </w:p>
        </w:tc>
        <w:tc>
          <w:tcPr>
            <w:tcW w:w="501" w:type="pct"/>
          </w:tcPr>
          <w:p w:rsidR="0051164C" w:rsidRDefault="005D1256" w:rsidP="0041391A">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9</w:t>
            </w:r>
          </w:p>
        </w:tc>
        <w:tc>
          <w:tcPr>
            <w:tcW w:w="501" w:type="pct"/>
          </w:tcPr>
          <w:p w:rsidR="0051164C" w:rsidRPr="0051164C" w:rsidRDefault="005D1256" w:rsidP="0051164C">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51164C" w:rsidRPr="00B6426B" w:rsidTr="00511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pct"/>
            <w:noWrap/>
            <w:hideMark/>
          </w:tcPr>
          <w:p w:rsidR="0051164C" w:rsidRPr="001244FE" w:rsidRDefault="0051164C" w:rsidP="00583436">
            <w:pPr>
              <w:rPr>
                <w:rFonts w:asciiTheme="minorHAnsi" w:hAnsiTheme="minorHAnsi"/>
                <w:sz w:val="18"/>
                <w:szCs w:val="18"/>
              </w:rPr>
            </w:pPr>
            <w:r w:rsidRPr="001244FE">
              <w:rPr>
                <w:rFonts w:asciiTheme="minorHAnsi" w:hAnsiTheme="minorHAnsi"/>
                <w:sz w:val="18"/>
                <w:szCs w:val="18"/>
              </w:rPr>
              <w:t>Average punctuality</w:t>
            </w:r>
            <w:r>
              <w:rPr>
                <w:rFonts w:asciiTheme="minorHAnsi" w:hAnsiTheme="minorHAnsi"/>
                <w:sz w:val="18"/>
                <w:szCs w:val="18"/>
              </w:rPr>
              <w:br/>
            </w:r>
            <w:r w:rsidRPr="001244FE">
              <w:rPr>
                <w:rFonts w:asciiTheme="minorHAnsi" w:hAnsiTheme="minorHAnsi"/>
                <w:sz w:val="18"/>
                <w:szCs w:val="18"/>
              </w:rPr>
              <w:t>(business days late)</w:t>
            </w:r>
          </w:p>
        </w:tc>
        <w:tc>
          <w:tcPr>
            <w:tcW w:w="503" w:type="pct"/>
          </w:tcPr>
          <w:p w:rsidR="0051164C" w:rsidRPr="00583436" w:rsidRDefault="0051164C"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r>
              <w:rPr>
                <w:rFonts w:asciiTheme="minorHAnsi" w:hAnsiTheme="minorHAnsi" w:cs="Arial"/>
                <w:bCs/>
                <w:sz w:val="18"/>
                <w:szCs w:val="18"/>
              </w:rPr>
              <w:t>3</w:t>
            </w:r>
          </w:p>
        </w:tc>
        <w:tc>
          <w:tcPr>
            <w:tcW w:w="503" w:type="pct"/>
          </w:tcPr>
          <w:p w:rsidR="0051164C" w:rsidRPr="00583436" w:rsidRDefault="0051164C"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-1</w:t>
            </w:r>
          </w:p>
        </w:tc>
        <w:tc>
          <w:tcPr>
            <w:tcW w:w="503" w:type="pct"/>
          </w:tcPr>
          <w:p w:rsidR="0051164C" w:rsidRPr="00583436" w:rsidDel="00660E2F" w:rsidRDefault="0051164C" w:rsidP="00C750B9">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-2</w:t>
            </w:r>
          </w:p>
        </w:tc>
        <w:tc>
          <w:tcPr>
            <w:tcW w:w="503" w:type="pct"/>
          </w:tcPr>
          <w:p w:rsidR="0051164C" w:rsidRPr="007C1A69" w:rsidRDefault="0051164C"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-1</w:t>
            </w:r>
          </w:p>
        </w:tc>
        <w:tc>
          <w:tcPr>
            <w:tcW w:w="502" w:type="pct"/>
          </w:tcPr>
          <w:p w:rsidR="0051164C" w:rsidRDefault="0051164C"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 xml:space="preserve"> -3 </w:t>
            </w:r>
          </w:p>
        </w:tc>
        <w:tc>
          <w:tcPr>
            <w:tcW w:w="501" w:type="pct"/>
          </w:tcPr>
          <w:p w:rsidR="0051164C" w:rsidRDefault="0051164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41391A">
              <w:rPr>
                <w:bCs/>
                <w:color w:val="000000"/>
                <w:sz w:val="18"/>
                <w:szCs w:val="18"/>
              </w:rPr>
              <w:t>-</w:t>
            </w:r>
            <w:r w:rsidR="005D1256">
              <w:rPr>
                <w:bCs/>
                <w:color w:val="000000"/>
                <w:sz w:val="18"/>
                <w:szCs w:val="18"/>
              </w:rPr>
              <w:t>1</w:t>
            </w:r>
          </w:p>
        </w:tc>
        <w:tc>
          <w:tcPr>
            <w:tcW w:w="501" w:type="pct"/>
          </w:tcPr>
          <w:p w:rsidR="0051164C" w:rsidRPr="0051164C" w:rsidRDefault="006640E0" w:rsidP="0051164C">
            <w:pPr>
              <w:jc w:val="center"/>
              <w:cnfStyle w:val="000000100000" w:firstRow="0" w:lastRow="0" w:firstColumn="0" w:lastColumn="0" w:oddVBand="0" w:evenVBand="0" w:oddHBand="1" w:evenHBand="0" w:firstRowFirstColumn="0" w:firstRowLastColumn="0" w:lastRowFirstColumn="0" w:lastRowLastColumn="0"/>
              <w:rPr>
                <w:sz w:val="18"/>
              </w:rPr>
            </w:pPr>
            <w:r>
              <w:rPr>
                <w:sz w:val="18"/>
              </w:rPr>
              <w:t>-</w:t>
            </w:r>
            <w:r w:rsidR="005D1256">
              <w:rPr>
                <w:sz w:val="18"/>
              </w:rPr>
              <w:t>1</w:t>
            </w:r>
          </w:p>
        </w:tc>
      </w:tr>
      <w:tr w:rsidR="0051164C" w:rsidRPr="00B6426B" w:rsidTr="0051164C">
        <w:tc>
          <w:tcPr>
            <w:cnfStyle w:val="001000000000" w:firstRow="0" w:lastRow="0" w:firstColumn="1" w:lastColumn="0" w:oddVBand="0" w:evenVBand="0" w:oddHBand="0" w:evenHBand="0" w:firstRowFirstColumn="0" w:firstRowLastColumn="0" w:lastRowFirstColumn="0" w:lastRowLastColumn="0"/>
            <w:tcW w:w="1483" w:type="pct"/>
            <w:noWrap/>
            <w:hideMark/>
          </w:tcPr>
          <w:p w:rsidR="0051164C" w:rsidRPr="001244FE" w:rsidRDefault="0051164C" w:rsidP="005E40C5">
            <w:pPr>
              <w:rPr>
                <w:rFonts w:asciiTheme="minorHAnsi" w:hAnsiTheme="minorHAnsi"/>
                <w:sz w:val="18"/>
                <w:szCs w:val="18"/>
              </w:rPr>
            </w:pPr>
            <w:r w:rsidRPr="001244FE">
              <w:rPr>
                <w:rFonts w:asciiTheme="minorHAnsi" w:hAnsiTheme="minorHAnsi"/>
                <w:sz w:val="18"/>
                <w:szCs w:val="18"/>
              </w:rPr>
              <w:t xml:space="preserve">Average lateness of late </w:t>
            </w:r>
            <w:r>
              <w:rPr>
                <w:rFonts w:asciiTheme="minorHAnsi" w:hAnsiTheme="minorHAnsi"/>
                <w:sz w:val="18"/>
                <w:szCs w:val="18"/>
              </w:rPr>
              <w:t>responses</w:t>
            </w:r>
            <w:r>
              <w:rPr>
                <w:rFonts w:asciiTheme="minorHAnsi" w:hAnsiTheme="minorHAnsi"/>
                <w:sz w:val="18"/>
                <w:szCs w:val="18"/>
              </w:rPr>
              <w:br/>
            </w:r>
            <w:r w:rsidRPr="001244FE">
              <w:rPr>
                <w:rFonts w:asciiTheme="minorHAnsi" w:hAnsiTheme="minorHAnsi"/>
                <w:sz w:val="18"/>
                <w:szCs w:val="18"/>
              </w:rPr>
              <w:t>(business</w:t>
            </w:r>
            <w:r>
              <w:rPr>
                <w:rFonts w:asciiTheme="minorHAnsi" w:hAnsiTheme="minorHAnsi"/>
                <w:sz w:val="18"/>
                <w:szCs w:val="18"/>
              </w:rPr>
              <w:t> </w:t>
            </w:r>
            <w:r w:rsidRPr="001244FE">
              <w:rPr>
                <w:rFonts w:asciiTheme="minorHAnsi" w:hAnsiTheme="minorHAnsi"/>
                <w:sz w:val="18"/>
                <w:szCs w:val="18"/>
              </w:rPr>
              <w:t>days)</w:t>
            </w:r>
          </w:p>
        </w:tc>
        <w:tc>
          <w:tcPr>
            <w:tcW w:w="503" w:type="pct"/>
          </w:tcPr>
          <w:p w:rsidR="0051164C" w:rsidRPr="00583436" w:rsidRDefault="0051164C" w:rsidP="00C750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r w:rsidRPr="00583436">
              <w:rPr>
                <w:rFonts w:asciiTheme="minorHAnsi" w:hAnsiTheme="minorHAnsi" w:cs="Arial"/>
                <w:bCs/>
                <w:sz w:val="18"/>
                <w:szCs w:val="18"/>
              </w:rPr>
              <w:t>11</w:t>
            </w:r>
          </w:p>
        </w:tc>
        <w:tc>
          <w:tcPr>
            <w:tcW w:w="503" w:type="pct"/>
          </w:tcPr>
          <w:p w:rsidR="0051164C" w:rsidRPr="00583436" w:rsidRDefault="0051164C"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3</w:t>
            </w:r>
          </w:p>
        </w:tc>
        <w:tc>
          <w:tcPr>
            <w:tcW w:w="503" w:type="pct"/>
          </w:tcPr>
          <w:p w:rsidR="0051164C" w:rsidRPr="00583436" w:rsidDel="00660E2F" w:rsidRDefault="0051164C" w:rsidP="00C750B9">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3</w:t>
            </w:r>
          </w:p>
        </w:tc>
        <w:tc>
          <w:tcPr>
            <w:tcW w:w="503" w:type="pct"/>
          </w:tcPr>
          <w:p w:rsidR="0051164C" w:rsidRPr="007C1A69" w:rsidRDefault="0051164C"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2</w:t>
            </w:r>
          </w:p>
        </w:tc>
        <w:tc>
          <w:tcPr>
            <w:tcW w:w="502" w:type="pct"/>
          </w:tcPr>
          <w:p w:rsidR="0051164C" w:rsidRDefault="0051164C"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7</w:t>
            </w:r>
          </w:p>
        </w:tc>
        <w:tc>
          <w:tcPr>
            <w:tcW w:w="501" w:type="pct"/>
          </w:tcPr>
          <w:p w:rsidR="0051164C" w:rsidRDefault="005D1256" w:rsidP="0041391A">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0</w:t>
            </w:r>
          </w:p>
        </w:tc>
        <w:tc>
          <w:tcPr>
            <w:tcW w:w="501" w:type="pct"/>
          </w:tcPr>
          <w:p w:rsidR="0051164C" w:rsidRPr="0051164C" w:rsidRDefault="005D1256" w:rsidP="0051164C">
            <w:pPr>
              <w:jc w:val="center"/>
              <w:cnfStyle w:val="000000000000" w:firstRow="0" w:lastRow="0" w:firstColumn="0" w:lastColumn="0" w:oddVBand="0" w:evenVBand="0" w:oddHBand="0" w:evenHBand="0" w:firstRowFirstColumn="0" w:firstRowLastColumn="0" w:lastRowFirstColumn="0" w:lastRowLastColumn="0"/>
              <w:rPr>
                <w:sz w:val="18"/>
              </w:rPr>
            </w:pPr>
            <w:r>
              <w:rPr>
                <w:sz w:val="18"/>
              </w:rPr>
              <w:t>3</w:t>
            </w:r>
          </w:p>
        </w:tc>
      </w:tr>
      <w:tr w:rsidR="0051164C" w:rsidRPr="00B6426B" w:rsidTr="00511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pct"/>
            <w:noWrap/>
            <w:hideMark/>
          </w:tcPr>
          <w:p w:rsidR="0051164C" w:rsidRPr="001244FE" w:rsidRDefault="0051164C" w:rsidP="00E60E7C">
            <w:pPr>
              <w:rPr>
                <w:rFonts w:asciiTheme="minorHAnsi" w:hAnsiTheme="minorHAnsi"/>
                <w:sz w:val="18"/>
                <w:szCs w:val="18"/>
              </w:rPr>
            </w:pPr>
            <w:r w:rsidRPr="001244FE">
              <w:rPr>
                <w:rFonts w:asciiTheme="minorHAnsi" w:hAnsiTheme="minorHAnsi"/>
                <w:sz w:val="18"/>
                <w:szCs w:val="18"/>
              </w:rPr>
              <w:t>Requests outstanding at end of period</w:t>
            </w:r>
          </w:p>
        </w:tc>
        <w:tc>
          <w:tcPr>
            <w:tcW w:w="503" w:type="pct"/>
          </w:tcPr>
          <w:p w:rsidR="0051164C" w:rsidRPr="00583436" w:rsidRDefault="0051164C"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r w:rsidRPr="00583436">
              <w:rPr>
                <w:rFonts w:asciiTheme="minorHAnsi" w:hAnsiTheme="minorHAnsi" w:cs="Arial"/>
                <w:bCs/>
                <w:sz w:val="18"/>
                <w:szCs w:val="18"/>
              </w:rPr>
              <w:t>3</w:t>
            </w:r>
          </w:p>
        </w:tc>
        <w:tc>
          <w:tcPr>
            <w:tcW w:w="503" w:type="pct"/>
          </w:tcPr>
          <w:p w:rsidR="0051164C" w:rsidRPr="00583436" w:rsidRDefault="0051164C"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583436">
              <w:rPr>
                <w:bCs/>
                <w:color w:val="000000"/>
                <w:sz w:val="18"/>
                <w:szCs w:val="18"/>
              </w:rPr>
              <w:t>1</w:t>
            </w:r>
          </w:p>
        </w:tc>
        <w:tc>
          <w:tcPr>
            <w:tcW w:w="503" w:type="pct"/>
          </w:tcPr>
          <w:p w:rsidR="0051164C" w:rsidRPr="00583436" w:rsidDel="00660E2F" w:rsidRDefault="0051164C" w:rsidP="00C750B9">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583436">
              <w:rPr>
                <w:bCs/>
                <w:color w:val="000000"/>
                <w:sz w:val="18"/>
                <w:szCs w:val="18"/>
              </w:rPr>
              <w:t>1</w:t>
            </w:r>
            <w:r>
              <w:rPr>
                <w:bCs/>
                <w:color w:val="000000"/>
                <w:sz w:val="18"/>
                <w:szCs w:val="18"/>
              </w:rPr>
              <w:t>6</w:t>
            </w:r>
          </w:p>
        </w:tc>
        <w:tc>
          <w:tcPr>
            <w:tcW w:w="503" w:type="pct"/>
          </w:tcPr>
          <w:p w:rsidR="0051164C" w:rsidRPr="007C1A69" w:rsidRDefault="0051164C"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13</w:t>
            </w:r>
          </w:p>
        </w:tc>
        <w:tc>
          <w:tcPr>
            <w:tcW w:w="502" w:type="pct"/>
          </w:tcPr>
          <w:p w:rsidR="0051164C" w:rsidRDefault="0051164C"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74</w:t>
            </w:r>
          </w:p>
        </w:tc>
        <w:tc>
          <w:tcPr>
            <w:tcW w:w="501" w:type="pct"/>
          </w:tcPr>
          <w:p w:rsidR="0051164C" w:rsidRDefault="0051164C" w:rsidP="0041391A">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41391A">
              <w:rPr>
                <w:bCs/>
                <w:color w:val="000000"/>
                <w:sz w:val="18"/>
                <w:szCs w:val="18"/>
              </w:rPr>
              <w:t>7</w:t>
            </w:r>
          </w:p>
        </w:tc>
        <w:tc>
          <w:tcPr>
            <w:tcW w:w="501" w:type="pct"/>
          </w:tcPr>
          <w:p w:rsidR="0051164C" w:rsidRPr="0051164C" w:rsidRDefault="0051164C" w:rsidP="0051164C">
            <w:pPr>
              <w:jc w:val="center"/>
              <w:cnfStyle w:val="000000100000" w:firstRow="0" w:lastRow="0" w:firstColumn="0" w:lastColumn="0" w:oddVBand="0" w:evenVBand="0" w:oddHBand="1" w:evenHBand="0" w:firstRowFirstColumn="0" w:firstRowLastColumn="0" w:lastRowFirstColumn="0" w:lastRowLastColumn="0"/>
              <w:rPr>
                <w:sz w:val="18"/>
              </w:rPr>
            </w:pPr>
            <w:r w:rsidRPr="0051164C">
              <w:rPr>
                <w:sz w:val="18"/>
              </w:rPr>
              <w:t>7</w:t>
            </w:r>
          </w:p>
        </w:tc>
      </w:tr>
    </w:tbl>
    <w:p w:rsidR="007432E3" w:rsidRPr="00543268" w:rsidRDefault="007432E3" w:rsidP="00E60E7C">
      <w:pPr>
        <w:pStyle w:val="PBOtext"/>
        <w:spacing w:before="340"/>
      </w:pPr>
      <w:r>
        <w:t>As at</w:t>
      </w:r>
      <w:r w:rsidR="00BB03B4">
        <w:t xml:space="preserve"> </w:t>
      </w:r>
      <w:r w:rsidR="00096B79">
        <w:t>3</w:t>
      </w:r>
      <w:r w:rsidR="00072581">
        <w:t xml:space="preserve">1 </w:t>
      </w:r>
      <w:r w:rsidR="004772D9" w:rsidRPr="0051164C">
        <w:t>March 2018</w:t>
      </w:r>
      <w:r w:rsidRPr="00A87BFA">
        <w:t xml:space="preserve">, </w:t>
      </w:r>
      <w:r w:rsidRPr="00DF4425">
        <w:t>no</w:t>
      </w:r>
      <w:r>
        <w:t xml:space="preserve"> </w:t>
      </w:r>
      <w:r w:rsidR="006504B6">
        <w:t xml:space="preserve">responses to </w:t>
      </w:r>
      <w:r>
        <w:t>requests were overdue.</w:t>
      </w:r>
    </w:p>
    <w:p w:rsidR="006C72F4" w:rsidRDefault="006C72F4">
      <w:pPr>
        <w:rPr>
          <w:rFonts w:asciiTheme="minorHAnsi" w:hAnsiTheme="minorHAnsi" w:cstheme="minorBidi"/>
          <w:b/>
          <w:bCs/>
          <w:color w:val="1F497D" w:themeColor="text2"/>
          <w:spacing w:val="-4"/>
          <w:sz w:val="20"/>
          <w:szCs w:val="20"/>
        </w:rPr>
      </w:pPr>
      <w:r>
        <w:rPr>
          <w:rFonts w:asciiTheme="minorHAnsi" w:hAnsiTheme="minorHAnsi" w:cstheme="minorBidi"/>
          <w:color w:val="1F497D" w:themeColor="text2"/>
          <w:spacing w:val="-4"/>
          <w:sz w:val="20"/>
        </w:rPr>
        <w:br w:type="page"/>
      </w:r>
    </w:p>
    <w:p w:rsidR="0041391A" w:rsidRDefault="008B2C4E" w:rsidP="00E60E7C">
      <w:pPr>
        <w:pStyle w:val="Caption"/>
        <w:keepNext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lastRenderedPageBreak/>
        <w:t>Figure 2:</w:t>
      </w:r>
      <w:r w:rsidR="007432E3" w:rsidRPr="005D002A">
        <w:rPr>
          <w:rFonts w:asciiTheme="minorHAnsi" w:eastAsiaTheme="minorHAnsi" w:hAnsiTheme="minorHAnsi" w:cstheme="minorBidi"/>
          <w:color w:val="1F497D" w:themeColor="text2"/>
          <w:spacing w:val="-4"/>
          <w:sz w:val="20"/>
          <w:lang w:eastAsia="en-US"/>
        </w:rPr>
        <w:t xml:space="preserve"> </w:t>
      </w:r>
      <w:r w:rsidR="00E250EF">
        <w:rPr>
          <w:rFonts w:asciiTheme="minorHAnsi" w:eastAsiaTheme="minorHAnsi" w:hAnsiTheme="minorHAnsi" w:cstheme="minorBidi"/>
          <w:color w:val="1F497D" w:themeColor="text2"/>
          <w:spacing w:val="-4"/>
          <w:sz w:val="20"/>
          <w:lang w:eastAsia="en-US"/>
        </w:rPr>
        <w:t xml:space="preserve">Agencies’ </w:t>
      </w:r>
      <w:r w:rsidR="007432E3" w:rsidRPr="005D002A">
        <w:rPr>
          <w:rFonts w:asciiTheme="minorHAnsi" w:eastAsiaTheme="minorHAnsi" w:hAnsiTheme="minorHAnsi" w:cstheme="minorBidi"/>
          <w:color w:val="1F497D" w:themeColor="text2"/>
          <w:spacing w:val="-4"/>
          <w:sz w:val="20"/>
          <w:lang w:eastAsia="en-US"/>
        </w:rPr>
        <w:t>response time</w:t>
      </w:r>
      <w:r w:rsidR="007432E3">
        <w:rPr>
          <w:rFonts w:asciiTheme="minorHAnsi" w:eastAsiaTheme="minorHAnsi" w:hAnsiTheme="minorHAnsi" w:cstheme="minorBidi"/>
          <w:color w:val="1F497D" w:themeColor="text2"/>
          <w:spacing w:val="-4"/>
          <w:sz w:val="20"/>
          <w:lang w:eastAsia="en-US"/>
        </w:rPr>
        <w:t>s</w:t>
      </w:r>
      <w:r w:rsidR="007432E3" w:rsidRPr="005D002A">
        <w:rPr>
          <w:rFonts w:asciiTheme="minorHAnsi" w:eastAsiaTheme="minorHAnsi" w:hAnsiTheme="minorHAnsi" w:cstheme="minorBidi"/>
          <w:color w:val="1F497D" w:themeColor="text2"/>
          <w:spacing w:val="-4"/>
          <w:sz w:val="20"/>
          <w:lang w:eastAsia="en-US"/>
        </w:rPr>
        <w:t xml:space="preserve"> for completed information requests</w:t>
      </w:r>
      <w:r w:rsidR="007432E3">
        <w:rPr>
          <w:rFonts w:asciiTheme="minorHAnsi" w:eastAsiaTheme="minorHAnsi" w:hAnsiTheme="minorHAnsi" w:cstheme="minorBidi"/>
          <w:color w:val="1F497D" w:themeColor="text2"/>
          <w:spacing w:val="-4"/>
          <w:sz w:val="20"/>
          <w:lang w:eastAsia="en-US"/>
        </w:rPr>
        <w:t xml:space="preserve"> in </w:t>
      </w:r>
      <w:r w:rsidR="005B0A14">
        <w:rPr>
          <w:rFonts w:asciiTheme="minorHAnsi" w:eastAsiaTheme="minorHAnsi" w:hAnsiTheme="minorHAnsi" w:cstheme="minorBidi"/>
          <w:color w:val="1F497D" w:themeColor="text2"/>
          <w:spacing w:val="-4"/>
          <w:sz w:val="20"/>
          <w:lang w:eastAsia="en-US"/>
        </w:rPr>
        <w:t>201</w:t>
      </w:r>
      <w:r w:rsidR="00DE0325">
        <w:rPr>
          <w:rFonts w:asciiTheme="minorHAnsi" w:eastAsiaTheme="minorHAnsi" w:hAnsiTheme="minorHAnsi" w:cstheme="minorBidi"/>
          <w:color w:val="1F497D" w:themeColor="text2"/>
          <w:spacing w:val="-4"/>
          <w:sz w:val="20"/>
          <w:lang w:eastAsia="en-US"/>
        </w:rPr>
        <w:t>7</w:t>
      </w:r>
      <w:r w:rsidR="007432E3">
        <w:rPr>
          <w:rFonts w:asciiTheme="minorHAnsi" w:eastAsiaTheme="minorHAnsi" w:hAnsiTheme="minorHAnsi" w:cstheme="minorBidi"/>
          <w:color w:val="1F497D" w:themeColor="text2"/>
          <w:spacing w:val="-4"/>
          <w:sz w:val="20"/>
          <w:lang w:eastAsia="en-US"/>
        </w:rPr>
        <w:t>–</w:t>
      </w:r>
      <w:r w:rsidR="005B0A14">
        <w:rPr>
          <w:rFonts w:asciiTheme="minorHAnsi" w:eastAsiaTheme="minorHAnsi" w:hAnsiTheme="minorHAnsi" w:cstheme="minorBidi"/>
          <w:color w:val="1F497D" w:themeColor="text2"/>
          <w:spacing w:val="-4"/>
          <w:sz w:val="20"/>
          <w:lang w:eastAsia="en-US"/>
        </w:rPr>
        <w:t>1</w:t>
      </w:r>
      <w:r w:rsidR="00DE0325">
        <w:rPr>
          <w:rFonts w:asciiTheme="minorHAnsi" w:eastAsiaTheme="minorHAnsi" w:hAnsiTheme="minorHAnsi" w:cstheme="minorBidi"/>
          <w:color w:val="1F497D" w:themeColor="text2"/>
          <w:spacing w:val="-4"/>
          <w:sz w:val="20"/>
          <w:lang w:eastAsia="en-US"/>
        </w:rPr>
        <w:t>8</w:t>
      </w:r>
      <w:r w:rsidR="005B0A14">
        <w:rPr>
          <w:rFonts w:asciiTheme="minorHAnsi" w:eastAsiaTheme="minorHAnsi" w:hAnsiTheme="minorHAnsi" w:cstheme="minorBidi"/>
          <w:color w:val="1F497D" w:themeColor="text2"/>
          <w:spacing w:val="-4"/>
          <w:sz w:val="20"/>
          <w:lang w:eastAsia="en-US"/>
        </w:rPr>
        <w:t xml:space="preserve"> </w:t>
      </w:r>
      <w:r w:rsidR="007432E3">
        <w:rPr>
          <w:rFonts w:asciiTheme="minorHAnsi" w:eastAsiaTheme="minorHAnsi" w:hAnsiTheme="minorHAnsi" w:cstheme="minorBidi"/>
          <w:color w:val="1F497D" w:themeColor="text2"/>
          <w:spacing w:val="-4"/>
          <w:sz w:val="20"/>
          <w:lang w:eastAsia="en-US"/>
        </w:rPr>
        <w:t xml:space="preserve">to </w:t>
      </w:r>
      <w:r w:rsidR="00096B79">
        <w:rPr>
          <w:rFonts w:asciiTheme="minorHAnsi" w:eastAsiaTheme="minorHAnsi" w:hAnsiTheme="minorHAnsi" w:cstheme="minorBidi"/>
          <w:color w:val="1F497D" w:themeColor="text2"/>
          <w:spacing w:val="-4"/>
          <w:sz w:val="20"/>
          <w:lang w:eastAsia="en-US"/>
        </w:rPr>
        <w:t>3</w:t>
      </w:r>
      <w:r w:rsidR="00072581">
        <w:rPr>
          <w:rFonts w:asciiTheme="minorHAnsi" w:eastAsiaTheme="minorHAnsi" w:hAnsiTheme="minorHAnsi" w:cstheme="minorBidi"/>
          <w:color w:val="1F497D" w:themeColor="text2"/>
          <w:spacing w:val="-4"/>
          <w:sz w:val="20"/>
          <w:lang w:eastAsia="en-US"/>
        </w:rPr>
        <w:t xml:space="preserve">1 </w:t>
      </w:r>
      <w:r w:rsidR="004772D9">
        <w:rPr>
          <w:rFonts w:asciiTheme="minorHAnsi" w:eastAsiaTheme="minorHAnsi" w:hAnsiTheme="minorHAnsi" w:cstheme="minorBidi"/>
          <w:color w:val="1F497D" w:themeColor="text2"/>
          <w:spacing w:val="-4"/>
          <w:sz w:val="20"/>
          <w:lang w:eastAsia="en-US"/>
        </w:rPr>
        <w:t>March 2018</w:t>
      </w:r>
    </w:p>
    <w:p w:rsidR="007432E3" w:rsidRDefault="005D1256" w:rsidP="00E60E7C">
      <w:pPr>
        <w:pStyle w:val="Caption"/>
        <w:keepNext w:val="0"/>
        <w:spacing w:before="340" w:after="114" w:line="250" w:lineRule="atLeast"/>
        <w:jc w:val="left"/>
        <w:rPr>
          <w:rFonts w:asciiTheme="minorHAnsi" w:eastAsiaTheme="minorHAnsi" w:hAnsiTheme="minorHAnsi" w:cstheme="minorBidi"/>
          <w:color w:val="1F497D" w:themeColor="text2"/>
          <w:spacing w:val="-4"/>
          <w:sz w:val="20"/>
          <w:lang w:eastAsia="en-US"/>
        </w:rPr>
      </w:pPr>
      <w:r>
        <w:rPr>
          <w:noProof/>
        </w:rPr>
        <w:drawing>
          <wp:inline distT="0" distB="0" distL="0" distR="0" wp14:anchorId="76C8374D" wp14:editId="79FE785C">
            <wp:extent cx="5731510" cy="241997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2419971"/>
                    </a:xfrm>
                    <a:prstGeom prst="rect">
                      <a:avLst/>
                    </a:prstGeom>
                  </pic:spPr>
                </pic:pic>
              </a:graphicData>
            </a:graphic>
          </wp:inline>
        </w:drawing>
      </w:r>
    </w:p>
    <w:p w:rsidR="0041391A" w:rsidRDefault="007432E3" w:rsidP="00E60E7C">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 xml:space="preserve">Figure 3: Timeliness of response by </w:t>
      </w:r>
      <w:r>
        <w:rPr>
          <w:rFonts w:asciiTheme="minorHAnsi" w:eastAsiaTheme="minorHAnsi" w:hAnsiTheme="minorHAnsi" w:cstheme="minorBidi"/>
          <w:color w:val="1F497D" w:themeColor="text2"/>
          <w:spacing w:val="-4"/>
          <w:sz w:val="20"/>
          <w:lang w:eastAsia="en-US"/>
        </w:rPr>
        <w:t xml:space="preserve">agencies </w:t>
      </w:r>
      <w:r w:rsidRPr="000F5570">
        <w:rPr>
          <w:rFonts w:asciiTheme="minorHAnsi" w:eastAsiaTheme="minorHAnsi" w:hAnsiTheme="minorHAnsi" w:cstheme="minorBidi"/>
          <w:color w:val="1F497D" w:themeColor="text2"/>
          <w:spacing w:val="-4"/>
          <w:sz w:val="20"/>
          <w:lang w:val="en-US" w:eastAsia="en-US"/>
        </w:rPr>
        <w:t>to infor</w:t>
      </w:r>
      <w:r>
        <w:rPr>
          <w:rFonts w:asciiTheme="minorHAnsi" w:eastAsiaTheme="minorHAnsi" w:hAnsiTheme="minorHAnsi" w:cstheme="minorBidi"/>
          <w:color w:val="1F497D" w:themeColor="text2"/>
          <w:spacing w:val="-4"/>
          <w:sz w:val="20"/>
          <w:lang w:val="en-US" w:eastAsia="en-US"/>
        </w:rPr>
        <w:t>mation requests in 201</w:t>
      </w:r>
      <w:r w:rsidR="00DE0325">
        <w:rPr>
          <w:rFonts w:asciiTheme="minorHAnsi" w:eastAsiaTheme="minorHAnsi" w:hAnsiTheme="minorHAnsi" w:cstheme="minorBidi"/>
          <w:color w:val="1F497D" w:themeColor="text2"/>
          <w:spacing w:val="-4"/>
          <w:sz w:val="20"/>
          <w:lang w:val="en-US" w:eastAsia="en-US"/>
        </w:rPr>
        <w:t>7</w:t>
      </w:r>
      <w:r>
        <w:rPr>
          <w:rFonts w:asciiTheme="minorHAnsi" w:eastAsiaTheme="minorHAnsi" w:hAnsiTheme="minorHAnsi" w:cstheme="minorBidi"/>
          <w:color w:val="1F497D" w:themeColor="text2"/>
          <w:spacing w:val="-4"/>
          <w:sz w:val="20"/>
          <w:lang w:val="en-US" w:eastAsia="en-US"/>
        </w:rPr>
        <w:t>–1</w:t>
      </w:r>
      <w:r w:rsidR="00DE0325">
        <w:rPr>
          <w:rFonts w:asciiTheme="minorHAnsi" w:eastAsiaTheme="minorHAnsi" w:hAnsiTheme="minorHAnsi" w:cstheme="minorBidi"/>
          <w:color w:val="1F497D" w:themeColor="text2"/>
          <w:spacing w:val="-4"/>
          <w:sz w:val="20"/>
          <w:lang w:val="en-US" w:eastAsia="en-US"/>
        </w:rPr>
        <w:t>8</w:t>
      </w:r>
      <w:r>
        <w:rPr>
          <w:rFonts w:asciiTheme="minorHAnsi" w:eastAsiaTheme="minorHAnsi" w:hAnsiTheme="minorHAnsi" w:cstheme="minorBidi"/>
          <w:color w:val="1F497D" w:themeColor="text2"/>
          <w:spacing w:val="-4"/>
          <w:sz w:val="20"/>
          <w:lang w:val="en-US" w:eastAsia="en-US"/>
        </w:rPr>
        <w:t xml:space="preserve"> to </w:t>
      </w:r>
      <w:r w:rsidR="00096B79">
        <w:rPr>
          <w:rFonts w:asciiTheme="minorHAnsi" w:eastAsiaTheme="minorHAnsi" w:hAnsiTheme="minorHAnsi" w:cstheme="minorBidi"/>
          <w:color w:val="1F497D" w:themeColor="text2"/>
          <w:spacing w:val="-4"/>
          <w:sz w:val="20"/>
          <w:lang w:eastAsia="en-US"/>
        </w:rPr>
        <w:t>3</w:t>
      </w:r>
      <w:r w:rsidR="00072581">
        <w:rPr>
          <w:rFonts w:asciiTheme="minorHAnsi" w:eastAsiaTheme="minorHAnsi" w:hAnsiTheme="minorHAnsi" w:cstheme="minorBidi"/>
          <w:color w:val="1F497D" w:themeColor="text2"/>
          <w:spacing w:val="-4"/>
          <w:sz w:val="20"/>
          <w:lang w:eastAsia="en-US"/>
        </w:rPr>
        <w:t xml:space="preserve">1 </w:t>
      </w:r>
      <w:r w:rsidR="004772D9">
        <w:rPr>
          <w:rFonts w:asciiTheme="minorHAnsi" w:eastAsiaTheme="minorHAnsi" w:hAnsiTheme="minorHAnsi" w:cstheme="minorBidi"/>
          <w:color w:val="1F497D" w:themeColor="text2"/>
          <w:spacing w:val="-4"/>
          <w:sz w:val="20"/>
          <w:lang w:eastAsia="en-US"/>
        </w:rPr>
        <w:t>March 2018</w:t>
      </w:r>
    </w:p>
    <w:p w:rsidR="00A523DC" w:rsidRDefault="005D1256" w:rsidP="00E60E7C">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Pr>
          <w:noProof/>
        </w:rPr>
        <w:drawing>
          <wp:inline distT="0" distB="0" distL="0" distR="0" wp14:anchorId="325C5723" wp14:editId="1B879AFB">
            <wp:extent cx="5731510" cy="2599999"/>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2599999"/>
                    </a:xfrm>
                    <a:prstGeom prst="rect">
                      <a:avLst/>
                    </a:prstGeom>
                  </pic:spPr>
                </pic:pic>
              </a:graphicData>
            </a:graphic>
          </wp:inline>
        </w:drawing>
      </w:r>
    </w:p>
    <w:p w:rsidR="007432E3" w:rsidRPr="0046029E" w:rsidRDefault="0046029E" w:rsidP="0041391A">
      <w:pPr>
        <w:rPr>
          <w:sz w:val="18"/>
          <w:szCs w:val="18"/>
        </w:rPr>
      </w:pPr>
      <w:r>
        <w:rPr>
          <w:sz w:val="18"/>
          <w:szCs w:val="18"/>
        </w:rPr>
        <w:t xml:space="preserve">Note:  </w:t>
      </w:r>
      <w:r w:rsidR="007432E3" w:rsidRPr="0046029E">
        <w:rPr>
          <w:sz w:val="18"/>
          <w:szCs w:val="18"/>
        </w:rPr>
        <w:t>‘On time’ responses include responses provided before the due date.</w:t>
      </w:r>
    </w:p>
    <w:p w:rsidR="007432E3" w:rsidRPr="00AD58FE" w:rsidRDefault="007432E3" w:rsidP="00E60E7C">
      <w:pPr>
        <w:pStyle w:val="PBOtext"/>
        <w:spacing w:before="340"/>
      </w:pPr>
    </w:p>
    <w:p w:rsidR="007432E3" w:rsidRPr="00AD58FE" w:rsidRDefault="007432E3" w:rsidP="00E60E7C">
      <w:pPr>
        <w:pStyle w:val="PBOtext"/>
        <w:spacing w:before="340"/>
        <w:sectPr w:rsidR="007432E3" w:rsidRPr="00AD58FE" w:rsidSect="008F298A">
          <w:footerReference w:type="default" r:id="rId13"/>
          <w:pgSz w:w="11906" w:h="16838"/>
          <w:pgMar w:top="1440" w:right="1440" w:bottom="1440" w:left="1440" w:header="709" w:footer="709" w:gutter="0"/>
          <w:pgNumType w:start="1"/>
          <w:cols w:space="708"/>
          <w:titlePg/>
          <w:docGrid w:linePitch="360"/>
        </w:sectPr>
      </w:pPr>
    </w:p>
    <w:p w:rsidR="0041391A" w:rsidRDefault="007432E3" w:rsidP="00DF4425">
      <w:pPr>
        <w:pStyle w:val="Caption"/>
        <w:spacing w:after="114" w:line="250" w:lineRule="atLeast"/>
        <w:jc w:val="left"/>
        <w:rPr>
          <w:rFonts w:asciiTheme="minorHAnsi" w:eastAsiaTheme="minorHAnsi" w:hAnsiTheme="minorHAnsi" w:cstheme="minorBidi"/>
          <w:color w:val="1F497D" w:themeColor="text2"/>
          <w:spacing w:val="-4"/>
          <w:sz w:val="20"/>
          <w:lang w:eastAsia="en-US"/>
        </w:rPr>
      </w:pPr>
      <w:r>
        <w:rPr>
          <w:rFonts w:asciiTheme="minorHAnsi" w:eastAsiaTheme="minorHAnsi" w:hAnsiTheme="minorHAnsi" w:cstheme="minorBidi"/>
          <w:color w:val="1F497D" w:themeColor="text2"/>
          <w:spacing w:val="-4"/>
          <w:sz w:val="20"/>
          <w:lang w:eastAsia="en-US"/>
        </w:rPr>
        <w:lastRenderedPageBreak/>
        <w:t>Table 3</w:t>
      </w:r>
      <w:r w:rsidRPr="005D002A">
        <w:rPr>
          <w:rFonts w:asciiTheme="minorHAnsi" w:eastAsiaTheme="minorHAnsi" w:hAnsiTheme="minorHAnsi" w:cstheme="minorBidi"/>
          <w:color w:val="1F497D" w:themeColor="text2"/>
          <w:spacing w:val="-4"/>
          <w:sz w:val="20"/>
          <w:lang w:eastAsia="en-US"/>
        </w:rPr>
        <w:t xml:space="preserve">: </w:t>
      </w:r>
      <w:r w:rsidRPr="00B95846">
        <w:rPr>
          <w:rFonts w:asciiTheme="minorHAnsi" w:eastAsiaTheme="minorHAnsi" w:hAnsiTheme="minorHAnsi" w:cstheme="minorBidi"/>
          <w:color w:val="1F497D" w:themeColor="text2"/>
          <w:spacing w:val="-4"/>
          <w:sz w:val="20"/>
          <w:lang w:eastAsia="en-US"/>
        </w:rPr>
        <w:t xml:space="preserve">Information </w:t>
      </w:r>
      <w:r>
        <w:rPr>
          <w:rFonts w:asciiTheme="minorHAnsi" w:eastAsiaTheme="minorHAnsi" w:hAnsiTheme="minorHAnsi" w:cstheme="minorBidi"/>
          <w:color w:val="1F497D" w:themeColor="text2"/>
          <w:spacing w:val="-4"/>
          <w:sz w:val="20"/>
          <w:lang w:eastAsia="en-US"/>
        </w:rPr>
        <w:t>r</w:t>
      </w:r>
      <w:r w:rsidRPr="00B95846">
        <w:rPr>
          <w:rFonts w:asciiTheme="minorHAnsi" w:eastAsiaTheme="minorHAnsi" w:hAnsiTheme="minorHAnsi" w:cstheme="minorBidi"/>
          <w:color w:val="1F497D" w:themeColor="text2"/>
          <w:spacing w:val="-4"/>
          <w:sz w:val="20"/>
          <w:lang w:eastAsia="en-US"/>
        </w:rPr>
        <w:t xml:space="preserve">equest responsiveness </w:t>
      </w:r>
      <w:r>
        <w:rPr>
          <w:rFonts w:asciiTheme="minorHAnsi" w:eastAsiaTheme="minorHAnsi" w:hAnsiTheme="minorHAnsi" w:cstheme="minorBidi"/>
          <w:color w:val="1F497D" w:themeColor="text2"/>
          <w:spacing w:val="-4"/>
          <w:sz w:val="20"/>
          <w:lang w:eastAsia="en-US"/>
        </w:rPr>
        <w:t xml:space="preserve">by agencies in </w:t>
      </w:r>
      <w:r w:rsidR="00357D9F">
        <w:rPr>
          <w:rFonts w:asciiTheme="minorHAnsi" w:eastAsiaTheme="minorHAnsi" w:hAnsiTheme="minorHAnsi" w:cstheme="minorBidi"/>
          <w:color w:val="1F497D" w:themeColor="text2"/>
          <w:spacing w:val="-4"/>
          <w:sz w:val="20"/>
          <w:lang w:eastAsia="en-US"/>
        </w:rPr>
        <w:t>201</w:t>
      </w:r>
      <w:r w:rsidR="00DE0325">
        <w:rPr>
          <w:rFonts w:asciiTheme="minorHAnsi" w:eastAsiaTheme="minorHAnsi" w:hAnsiTheme="minorHAnsi" w:cstheme="minorBidi"/>
          <w:color w:val="1F497D" w:themeColor="text2"/>
          <w:spacing w:val="-4"/>
          <w:sz w:val="20"/>
          <w:lang w:eastAsia="en-US"/>
        </w:rPr>
        <w:t>7</w:t>
      </w:r>
      <w:r>
        <w:rPr>
          <w:rFonts w:asciiTheme="minorHAnsi" w:eastAsiaTheme="minorHAnsi" w:hAnsiTheme="minorHAnsi" w:cstheme="minorBidi"/>
          <w:color w:val="1F497D" w:themeColor="text2"/>
          <w:spacing w:val="-4"/>
          <w:sz w:val="20"/>
          <w:lang w:eastAsia="en-US"/>
        </w:rPr>
        <w:t>–</w:t>
      </w:r>
      <w:r w:rsidR="00357D9F">
        <w:rPr>
          <w:rFonts w:asciiTheme="minorHAnsi" w:eastAsiaTheme="minorHAnsi" w:hAnsiTheme="minorHAnsi" w:cstheme="minorBidi"/>
          <w:color w:val="1F497D" w:themeColor="text2"/>
          <w:spacing w:val="-4"/>
          <w:sz w:val="20"/>
          <w:lang w:eastAsia="en-US"/>
        </w:rPr>
        <w:t>1</w:t>
      </w:r>
      <w:r w:rsidR="00DE0325">
        <w:rPr>
          <w:rFonts w:asciiTheme="minorHAnsi" w:eastAsiaTheme="minorHAnsi" w:hAnsiTheme="minorHAnsi" w:cstheme="minorBidi"/>
          <w:color w:val="1F497D" w:themeColor="text2"/>
          <w:spacing w:val="-4"/>
          <w:sz w:val="20"/>
          <w:lang w:eastAsia="en-US"/>
        </w:rPr>
        <w:t>8</w:t>
      </w:r>
      <w:r w:rsidR="00357D9F" w:rsidRPr="00B95846">
        <w:rPr>
          <w:rFonts w:asciiTheme="minorHAnsi" w:eastAsiaTheme="minorHAnsi" w:hAnsiTheme="minorHAnsi" w:cstheme="minorBidi"/>
          <w:color w:val="1F497D" w:themeColor="text2"/>
          <w:spacing w:val="-4"/>
          <w:sz w:val="20"/>
          <w:lang w:eastAsia="en-US"/>
        </w:rPr>
        <w:t xml:space="preserve"> </w:t>
      </w:r>
      <w:r w:rsidRPr="00B95846">
        <w:rPr>
          <w:rFonts w:asciiTheme="minorHAnsi" w:eastAsiaTheme="minorHAnsi" w:hAnsiTheme="minorHAnsi" w:cstheme="minorBidi"/>
          <w:color w:val="1F497D" w:themeColor="text2"/>
          <w:spacing w:val="-4"/>
          <w:sz w:val="20"/>
          <w:lang w:eastAsia="en-US"/>
        </w:rPr>
        <w:t>to</w:t>
      </w:r>
      <w:r>
        <w:rPr>
          <w:rFonts w:asciiTheme="minorHAnsi" w:eastAsiaTheme="minorHAnsi" w:hAnsiTheme="minorHAnsi" w:cstheme="minorBidi"/>
          <w:color w:val="1F497D" w:themeColor="text2"/>
          <w:spacing w:val="-4"/>
          <w:sz w:val="20"/>
          <w:lang w:val="en-US" w:eastAsia="en-US"/>
        </w:rPr>
        <w:t xml:space="preserve"> </w:t>
      </w:r>
      <w:r w:rsidR="00096B79">
        <w:rPr>
          <w:rFonts w:asciiTheme="minorHAnsi" w:eastAsiaTheme="minorHAnsi" w:hAnsiTheme="minorHAnsi" w:cstheme="minorBidi"/>
          <w:color w:val="1F497D" w:themeColor="text2"/>
          <w:spacing w:val="-4"/>
          <w:sz w:val="20"/>
          <w:lang w:eastAsia="en-US"/>
        </w:rPr>
        <w:t>3</w:t>
      </w:r>
      <w:r w:rsidR="00072581">
        <w:rPr>
          <w:rFonts w:asciiTheme="minorHAnsi" w:eastAsiaTheme="minorHAnsi" w:hAnsiTheme="minorHAnsi" w:cstheme="minorBidi"/>
          <w:color w:val="1F497D" w:themeColor="text2"/>
          <w:spacing w:val="-4"/>
          <w:sz w:val="20"/>
          <w:lang w:eastAsia="en-US"/>
        </w:rPr>
        <w:t xml:space="preserve">1 </w:t>
      </w:r>
      <w:r w:rsidR="004772D9">
        <w:rPr>
          <w:rFonts w:asciiTheme="minorHAnsi" w:eastAsiaTheme="minorHAnsi" w:hAnsiTheme="minorHAnsi" w:cstheme="minorBidi"/>
          <w:color w:val="1F497D" w:themeColor="text2"/>
          <w:spacing w:val="-4"/>
          <w:sz w:val="20"/>
          <w:lang w:eastAsia="en-US"/>
        </w:rPr>
        <w:t>March 2018</w:t>
      </w:r>
    </w:p>
    <w:p w:rsidR="007432E3" w:rsidRDefault="00246480" w:rsidP="00DF4425">
      <w:pPr>
        <w:pStyle w:val="Caption"/>
        <w:spacing w:before="120" w:after="114" w:line="250" w:lineRule="atLeast"/>
        <w:jc w:val="left"/>
        <w:rPr>
          <w:rFonts w:asciiTheme="minorHAnsi" w:eastAsiaTheme="minorHAnsi" w:hAnsiTheme="minorHAnsi" w:cstheme="minorBidi"/>
          <w:color w:val="1F497D" w:themeColor="text2"/>
          <w:spacing w:val="-4"/>
          <w:sz w:val="20"/>
          <w:lang w:eastAsia="en-US"/>
        </w:rPr>
      </w:pPr>
      <w:r w:rsidRPr="00246480">
        <w:rPr>
          <w:rFonts w:eastAsiaTheme="minorHAnsi"/>
          <w:noProof/>
        </w:rPr>
        <w:drawing>
          <wp:inline distT="0" distB="0" distL="0" distR="0" wp14:anchorId="3C514AAD" wp14:editId="15AAB13B">
            <wp:extent cx="8863330" cy="47831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63330" cy="4783154"/>
                    </a:xfrm>
                    <a:prstGeom prst="rect">
                      <a:avLst/>
                    </a:prstGeom>
                    <a:noFill/>
                    <a:ln>
                      <a:noFill/>
                    </a:ln>
                  </pic:spPr>
                </pic:pic>
              </a:graphicData>
            </a:graphic>
          </wp:inline>
        </w:drawing>
      </w:r>
    </w:p>
    <w:p w:rsidR="0041391A" w:rsidRDefault="00557D8D" w:rsidP="00237727">
      <w:pPr>
        <w:pStyle w:val="PBOtext"/>
        <w:spacing w:after="120"/>
        <w:ind w:left="142" w:hanging="142"/>
        <w:rPr>
          <w:sz w:val="18"/>
          <w:szCs w:val="18"/>
        </w:rPr>
        <w:sectPr w:rsidR="0041391A" w:rsidSect="00237727">
          <w:footerReference w:type="default" r:id="rId15"/>
          <w:pgSz w:w="16838" w:h="11906" w:orient="landscape" w:code="9"/>
          <w:pgMar w:top="1418" w:right="1440" w:bottom="1440" w:left="1440" w:header="709" w:footer="709" w:gutter="0"/>
          <w:cols w:space="708"/>
          <w:docGrid w:linePitch="360"/>
        </w:sectPr>
      </w:pPr>
      <w:r w:rsidRPr="00D06137">
        <w:rPr>
          <w:sz w:val="18"/>
          <w:szCs w:val="18"/>
          <w:vertAlign w:val="superscript"/>
        </w:rPr>
        <w:t>1</w:t>
      </w:r>
      <w:r w:rsidR="00246480">
        <w:rPr>
          <w:sz w:val="18"/>
          <w:szCs w:val="18"/>
          <w:vertAlign w:val="superscript"/>
        </w:rPr>
        <w:tab/>
      </w:r>
      <w:r w:rsidR="00D075A1" w:rsidRPr="00D06137">
        <w:rPr>
          <w:sz w:val="18"/>
          <w:szCs w:val="18"/>
        </w:rPr>
        <w:t>T</w:t>
      </w:r>
      <w:r w:rsidR="006C72F4" w:rsidRPr="00C70709">
        <w:rPr>
          <w:sz w:val="18"/>
          <w:szCs w:val="18"/>
        </w:rPr>
        <w:t xml:space="preserve">he </w:t>
      </w:r>
      <w:r w:rsidR="00E42A15" w:rsidRPr="00D06137">
        <w:rPr>
          <w:sz w:val="18"/>
          <w:szCs w:val="18"/>
        </w:rPr>
        <w:t xml:space="preserve">average timeframes for responses from these agencies are affected by the provision of updates to complex models to incorporate measures from </w:t>
      </w:r>
      <w:r w:rsidR="004B6727">
        <w:rPr>
          <w:sz w:val="18"/>
          <w:szCs w:val="18"/>
        </w:rPr>
        <w:t>the Mid-Year Economic and Fiscal Outlook upd</w:t>
      </w:r>
      <w:r w:rsidR="00E42A15" w:rsidRPr="00D06137">
        <w:rPr>
          <w:sz w:val="18"/>
          <w:szCs w:val="18"/>
        </w:rPr>
        <w:t>ate. The provision of these updates has been agreed in standing information request arrangements and do not relate to specific requests from parliamentarians</w:t>
      </w:r>
      <w:r w:rsidR="00E42A15">
        <w:rPr>
          <w:sz w:val="18"/>
          <w:szCs w:val="18"/>
        </w:rPr>
        <w:t>.</w:t>
      </w:r>
    </w:p>
    <w:p w:rsidR="00A14D88" w:rsidRDefault="00A14D88" w:rsidP="00DF4425">
      <w:pPr>
        <w:pStyle w:val="Caption"/>
        <w:rPr>
          <w:rFonts w:asciiTheme="minorHAnsi" w:eastAsiaTheme="minorHAnsi" w:hAnsiTheme="minorHAnsi" w:cstheme="minorBidi"/>
          <w:color w:val="1F497D" w:themeColor="text2"/>
          <w:spacing w:val="-4"/>
          <w:sz w:val="20"/>
          <w:lang w:eastAsia="en-US"/>
        </w:rPr>
      </w:pPr>
      <w:r>
        <w:rPr>
          <w:rFonts w:asciiTheme="minorHAnsi" w:eastAsiaTheme="minorHAnsi" w:hAnsiTheme="minorHAnsi" w:cstheme="minorBidi"/>
          <w:color w:val="1F497D" w:themeColor="text2"/>
          <w:spacing w:val="-4"/>
          <w:sz w:val="20"/>
          <w:lang w:eastAsia="en-US"/>
        </w:rPr>
        <w:lastRenderedPageBreak/>
        <w:t>Table 4</w:t>
      </w:r>
      <w:r w:rsidRPr="005D002A">
        <w:rPr>
          <w:rFonts w:asciiTheme="minorHAnsi" w:eastAsiaTheme="minorHAnsi" w:hAnsiTheme="minorHAnsi" w:cstheme="minorBidi"/>
          <w:color w:val="1F497D" w:themeColor="text2"/>
          <w:spacing w:val="-4"/>
          <w:sz w:val="20"/>
          <w:lang w:eastAsia="en-US"/>
        </w:rPr>
        <w:t xml:space="preserve">: </w:t>
      </w:r>
      <w:r>
        <w:rPr>
          <w:rFonts w:asciiTheme="minorHAnsi" w:eastAsiaTheme="minorHAnsi" w:hAnsiTheme="minorHAnsi" w:cstheme="minorBidi"/>
          <w:color w:val="1F497D" w:themeColor="text2"/>
          <w:spacing w:val="-4"/>
          <w:sz w:val="20"/>
          <w:lang w:eastAsia="en-US"/>
        </w:rPr>
        <w:t>P</w:t>
      </w:r>
      <w:r w:rsidR="00FA1577">
        <w:rPr>
          <w:rFonts w:asciiTheme="minorHAnsi" w:eastAsiaTheme="minorHAnsi" w:hAnsiTheme="minorHAnsi" w:cstheme="minorBidi"/>
          <w:color w:val="1F497D" w:themeColor="text2"/>
          <w:spacing w:val="-4"/>
          <w:sz w:val="20"/>
          <w:lang w:eastAsia="en-US"/>
        </w:rPr>
        <w:t xml:space="preserve">olicy announcements with reference to PBO costings </w:t>
      </w:r>
      <w:r>
        <w:rPr>
          <w:rFonts w:asciiTheme="minorHAnsi" w:eastAsiaTheme="minorHAnsi" w:hAnsiTheme="minorHAnsi" w:cstheme="minorBidi"/>
          <w:color w:val="1F497D" w:themeColor="text2"/>
          <w:spacing w:val="-4"/>
          <w:sz w:val="20"/>
          <w:lang w:eastAsia="en-US"/>
        </w:rPr>
        <w:t xml:space="preserve">in 2017–18 </w:t>
      </w:r>
      <w:r w:rsidRPr="00B95846">
        <w:rPr>
          <w:rFonts w:asciiTheme="minorHAnsi" w:eastAsiaTheme="minorHAnsi" w:hAnsiTheme="minorHAnsi" w:cstheme="minorBidi"/>
          <w:color w:val="1F497D" w:themeColor="text2"/>
          <w:spacing w:val="-4"/>
          <w:sz w:val="20"/>
          <w:lang w:eastAsia="en-US"/>
        </w:rPr>
        <w:t>to</w:t>
      </w:r>
      <w:r>
        <w:rPr>
          <w:rFonts w:asciiTheme="minorHAnsi" w:eastAsiaTheme="minorHAnsi" w:hAnsiTheme="minorHAnsi" w:cstheme="minorBidi"/>
          <w:color w:val="1F497D" w:themeColor="text2"/>
          <w:spacing w:val="-4"/>
          <w:sz w:val="20"/>
          <w:lang w:val="en-US" w:eastAsia="en-US"/>
        </w:rPr>
        <w:t xml:space="preserve"> </w:t>
      </w:r>
      <w:r>
        <w:rPr>
          <w:rFonts w:asciiTheme="minorHAnsi" w:eastAsiaTheme="minorHAnsi" w:hAnsiTheme="minorHAnsi" w:cstheme="minorBidi"/>
          <w:color w:val="1F497D" w:themeColor="text2"/>
          <w:spacing w:val="-4"/>
          <w:sz w:val="20"/>
          <w:lang w:eastAsia="en-US"/>
        </w:rPr>
        <w:t>3</w:t>
      </w:r>
      <w:r w:rsidR="00072581">
        <w:rPr>
          <w:rFonts w:asciiTheme="minorHAnsi" w:eastAsiaTheme="minorHAnsi" w:hAnsiTheme="minorHAnsi" w:cstheme="minorBidi"/>
          <w:color w:val="1F497D" w:themeColor="text2"/>
          <w:spacing w:val="-4"/>
          <w:sz w:val="20"/>
          <w:lang w:eastAsia="en-US"/>
        </w:rPr>
        <w:t xml:space="preserve">1 </w:t>
      </w:r>
      <w:r w:rsidR="004772D9">
        <w:rPr>
          <w:rFonts w:asciiTheme="minorHAnsi" w:eastAsiaTheme="minorHAnsi" w:hAnsiTheme="minorHAnsi" w:cstheme="minorBidi"/>
          <w:color w:val="1F497D" w:themeColor="text2"/>
          <w:spacing w:val="-4"/>
          <w:sz w:val="20"/>
          <w:lang w:eastAsia="en-US"/>
        </w:rPr>
        <w:t>March 2018</w:t>
      </w:r>
    </w:p>
    <w:tbl>
      <w:tblPr>
        <w:tblStyle w:val="TableGrid3"/>
        <w:tblW w:w="14040" w:type="dxa"/>
        <w:tblLayout w:type="fixed"/>
        <w:tblLook w:val="04A0" w:firstRow="1" w:lastRow="0" w:firstColumn="1" w:lastColumn="0" w:noHBand="0" w:noVBand="1"/>
      </w:tblPr>
      <w:tblGrid>
        <w:gridCol w:w="3119"/>
        <w:gridCol w:w="2126"/>
        <w:gridCol w:w="2552"/>
        <w:gridCol w:w="1417"/>
        <w:gridCol w:w="992"/>
        <w:gridCol w:w="3834"/>
      </w:tblGrid>
      <w:tr w:rsidR="00762006" w:rsidRPr="00762006" w:rsidTr="00FE6F53">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100" w:firstRow="0" w:lastRow="0" w:firstColumn="1" w:lastColumn="0" w:oddVBand="0" w:evenVBand="0" w:oddHBand="0" w:evenHBand="0" w:firstRowFirstColumn="1" w:firstRowLastColumn="0" w:lastRowFirstColumn="0" w:lastRowLastColumn="0"/>
            <w:tcW w:w="3119" w:type="dxa"/>
            <w:hideMark/>
          </w:tcPr>
          <w:p w:rsidR="00762006" w:rsidRPr="00762006" w:rsidRDefault="00762006" w:rsidP="000D5446">
            <w:pPr>
              <w:spacing w:before="60" w:after="60"/>
              <w:rPr>
                <w:rFonts w:cs="Calibri"/>
                <w:b/>
                <w:bCs/>
                <w:sz w:val="18"/>
                <w:szCs w:val="18"/>
              </w:rPr>
            </w:pPr>
            <w:r w:rsidRPr="00762006">
              <w:rPr>
                <w:rFonts w:cs="Calibri"/>
                <w:b/>
                <w:bCs/>
                <w:sz w:val="18"/>
                <w:szCs w:val="18"/>
              </w:rPr>
              <w:t>Des</w:t>
            </w:r>
            <w:r>
              <w:rPr>
                <w:rFonts w:cs="Calibri"/>
                <w:b/>
                <w:bCs/>
                <w:sz w:val="18"/>
                <w:szCs w:val="18"/>
              </w:rPr>
              <w:t>cription of policy announcement</w:t>
            </w:r>
          </w:p>
        </w:tc>
        <w:tc>
          <w:tcPr>
            <w:tcW w:w="2126" w:type="dxa"/>
            <w:hideMark/>
          </w:tcPr>
          <w:p w:rsidR="00762006" w:rsidRPr="00762006" w:rsidRDefault="00762006" w:rsidP="000D5446">
            <w:pPr>
              <w:spacing w:before="60" w:after="60"/>
              <w:jc w:val="left"/>
              <w:cnfStyle w:val="100000000000" w:firstRow="1" w:lastRow="0" w:firstColumn="0" w:lastColumn="0" w:oddVBand="0" w:evenVBand="0" w:oddHBand="0" w:evenHBand="0" w:firstRowFirstColumn="0" w:firstRowLastColumn="0" w:lastRowFirstColumn="0" w:lastRowLastColumn="0"/>
              <w:rPr>
                <w:rFonts w:cs="Calibri"/>
                <w:b/>
                <w:bCs/>
                <w:sz w:val="18"/>
                <w:szCs w:val="18"/>
              </w:rPr>
            </w:pPr>
            <w:r w:rsidRPr="00762006">
              <w:rPr>
                <w:rFonts w:cs="Calibri"/>
                <w:b/>
                <w:bCs/>
                <w:sz w:val="18"/>
                <w:szCs w:val="18"/>
              </w:rPr>
              <w:t xml:space="preserve">Party or Parliamentarian </w:t>
            </w:r>
            <w:r>
              <w:rPr>
                <w:rFonts w:cs="Calibri"/>
                <w:b/>
                <w:bCs/>
                <w:sz w:val="18"/>
                <w:szCs w:val="18"/>
              </w:rPr>
              <w:t>a</w:t>
            </w:r>
            <w:r w:rsidRPr="00762006">
              <w:rPr>
                <w:rFonts w:cs="Calibri"/>
                <w:b/>
                <w:bCs/>
                <w:sz w:val="18"/>
                <w:szCs w:val="18"/>
              </w:rPr>
              <w:t>nnouncing policy</w:t>
            </w:r>
          </w:p>
        </w:tc>
        <w:tc>
          <w:tcPr>
            <w:tcW w:w="2552" w:type="dxa"/>
            <w:hideMark/>
          </w:tcPr>
          <w:p w:rsidR="00762006" w:rsidRPr="00762006" w:rsidRDefault="00762006" w:rsidP="000D5446">
            <w:pPr>
              <w:spacing w:before="60" w:after="60"/>
              <w:jc w:val="left"/>
              <w:cnfStyle w:val="100000000000" w:firstRow="1" w:lastRow="0" w:firstColumn="0" w:lastColumn="0" w:oddVBand="0" w:evenVBand="0" w:oddHBand="0" w:evenHBand="0" w:firstRowFirstColumn="0" w:firstRowLastColumn="0" w:lastRowFirstColumn="0" w:lastRowLastColumn="0"/>
              <w:rPr>
                <w:rFonts w:cs="Calibri"/>
                <w:b/>
                <w:bCs/>
                <w:sz w:val="18"/>
                <w:szCs w:val="18"/>
              </w:rPr>
            </w:pPr>
            <w:r w:rsidRPr="00762006">
              <w:rPr>
                <w:rFonts w:cs="Calibri"/>
                <w:b/>
                <w:bCs/>
                <w:sz w:val="18"/>
                <w:szCs w:val="18"/>
              </w:rPr>
              <w:t>Method of Announcement</w:t>
            </w:r>
          </w:p>
        </w:tc>
        <w:tc>
          <w:tcPr>
            <w:tcW w:w="1417" w:type="dxa"/>
            <w:hideMark/>
          </w:tcPr>
          <w:p w:rsidR="00762006" w:rsidRPr="00762006" w:rsidRDefault="00762006" w:rsidP="000D5446">
            <w:pPr>
              <w:spacing w:before="60" w:after="60"/>
              <w:jc w:val="left"/>
              <w:cnfStyle w:val="100000000000" w:firstRow="1" w:lastRow="0" w:firstColumn="0" w:lastColumn="0" w:oddVBand="0" w:evenVBand="0" w:oddHBand="0" w:evenHBand="0" w:firstRowFirstColumn="0" w:firstRowLastColumn="0" w:lastRowFirstColumn="0" w:lastRowLastColumn="0"/>
              <w:rPr>
                <w:rFonts w:cs="Calibri"/>
                <w:b/>
                <w:bCs/>
                <w:sz w:val="18"/>
                <w:szCs w:val="18"/>
              </w:rPr>
            </w:pPr>
            <w:r w:rsidRPr="00762006">
              <w:rPr>
                <w:rFonts w:cs="Calibri"/>
                <w:b/>
                <w:bCs/>
                <w:sz w:val="18"/>
                <w:szCs w:val="18"/>
              </w:rPr>
              <w:t>Date of announcement</w:t>
            </w:r>
          </w:p>
        </w:tc>
        <w:tc>
          <w:tcPr>
            <w:tcW w:w="992" w:type="dxa"/>
            <w:hideMark/>
          </w:tcPr>
          <w:p w:rsidR="00762006" w:rsidRPr="00762006" w:rsidRDefault="00762006" w:rsidP="000D5446">
            <w:pPr>
              <w:spacing w:before="60" w:after="60"/>
              <w:jc w:val="left"/>
              <w:cnfStyle w:val="100000000000" w:firstRow="1" w:lastRow="0" w:firstColumn="0" w:lastColumn="0" w:oddVBand="0" w:evenVBand="0" w:oddHBand="0" w:evenHBand="0" w:firstRowFirstColumn="0" w:firstRowLastColumn="0" w:lastRowFirstColumn="0" w:lastRowLastColumn="0"/>
              <w:rPr>
                <w:rFonts w:cs="Calibri"/>
                <w:b/>
                <w:bCs/>
                <w:sz w:val="18"/>
                <w:szCs w:val="18"/>
              </w:rPr>
            </w:pPr>
            <w:r>
              <w:rPr>
                <w:rFonts w:cs="Calibri"/>
                <w:b/>
                <w:bCs/>
                <w:sz w:val="18"/>
                <w:szCs w:val="18"/>
              </w:rPr>
              <w:t>C</w:t>
            </w:r>
            <w:r w:rsidRPr="00762006">
              <w:rPr>
                <w:rFonts w:cs="Calibri"/>
                <w:b/>
                <w:bCs/>
                <w:sz w:val="18"/>
                <w:szCs w:val="18"/>
              </w:rPr>
              <w:t>osting minute released</w:t>
            </w:r>
            <w:r>
              <w:rPr>
                <w:rFonts w:cs="Calibri"/>
                <w:b/>
                <w:bCs/>
                <w:sz w:val="18"/>
                <w:szCs w:val="18"/>
              </w:rPr>
              <w:t>?</w:t>
            </w:r>
          </w:p>
        </w:tc>
        <w:tc>
          <w:tcPr>
            <w:tcW w:w="3834" w:type="dxa"/>
            <w:hideMark/>
          </w:tcPr>
          <w:p w:rsidR="00762006" w:rsidRPr="00762006" w:rsidRDefault="00762006" w:rsidP="000D5446">
            <w:pPr>
              <w:spacing w:before="60" w:after="60"/>
              <w:jc w:val="left"/>
              <w:cnfStyle w:val="100000000000" w:firstRow="1" w:lastRow="0" w:firstColumn="0" w:lastColumn="0" w:oddVBand="0" w:evenVBand="0" w:oddHBand="0" w:evenHBand="0" w:firstRowFirstColumn="0" w:firstRowLastColumn="0" w:lastRowFirstColumn="0" w:lastRowLastColumn="0"/>
              <w:rPr>
                <w:rFonts w:cs="Calibri"/>
                <w:b/>
                <w:bCs/>
                <w:sz w:val="18"/>
                <w:szCs w:val="18"/>
              </w:rPr>
            </w:pPr>
            <w:r w:rsidRPr="00762006">
              <w:rPr>
                <w:rFonts w:cs="Calibri"/>
                <w:b/>
                <w:bCs/>
                <w:sz w:val="18"/>
                <w:szCs w:val="18"/>
              </w:rPr>
              <w:t>Date of release of costing minute</w:t>
            </w:r>
          </w:p>
        </w:tc>
      </w:tr>
      <w:tr w:rsidR="006640E0" w:rsidRPr="00762006" w:rsidTr="006640E0">
        <w:trPr>
          <w:cnfStyle w:val="000000100000" w:firstRow="0" w:lastRow="0" w:firstColumn="0" w:lastColumn="0" w:oddVBand="0" w:evenVBand="0" w:oddHBand="1" w:evenHBand="0" w:firstRowFirstColumn="0" w:firstRowLastColumn="0" w:lastRowFirstColumn="0" w:lastRowLastColumn="0"/>
          <w:cantSplit/>
          <w:trHeight w:hRule="exact" w:val="2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vAlign w:val="top"/>
          </w:tcPr>
          <w:p w:rsidR="006640E0" w:rsidRPr="00762006" w:rsidRDefault="006640E0" w:rsidP="000D5446">
            <w:pPr>
              <w:spacing w:before="60" w:after="60"/>
              <w:rPr>
                <w:rFonts w:cs="Calibri"/>
                <w:color w:val="000000"/>
                <w:sz w:val="18"/>
                <w:szCs w:val="18"/>
              </w:rPr>
            </w:pPr>
          </w:p>
        </w:tc>
        <w:tc>
          <w:tcPr>
            <w:tcW w:w="2126" w:type="dxa"/>
            <w:shd w:val="clear" w:color="auto" w:fill="auto"/>
            <w:vAlign w:val="top"/>
          </w:tcPr>
          <w:p w:rsidR="006640E0" w:rsidRPr="00762006" w:rsidRDefault="006640E0"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p>
        </w:tc>
        <w:tc>
          <w:tcPr>
            <w:tcW w:w="2552" w:type="dxa"/>
            <w:shd w:val="clear" w:color="auto" w:fill="auto"/>
            <w:vAlign w:val="top"/>
          </w:tcPr>
          <w:p w:rsidR="006640E0" w:rsidRPr="00762006" w:rsidRDefault="006640E0"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p>
        </w:tc>
        <w:tc>
          <w:tcPr>
            <w:tcW w:w="1417" w:type="dxa"/>
            <w:shd w:val="clear" w:color="auto" w:fill="auto"/>
            <w:vAlign w:val="top"/>
          </w:tcPr>
          <w:p w:rsidR="006640E0" w:rsidRDefault="006640E0"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p>
        </w:tc>
        <w:tc>
          <w:tcPr>
            <w:tcW w:w="992" w:type="dxa"/>
            <w:shd w:val="clear" w:color="auto" w:fill="auto"/>
            <w:vAlign w:val="top"/>
          </w:tcPr>
          <w:p w:rsidR="006640E0" w:rsidRPr="00762006" w:rsidRDefault="006640E0"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p>
        </w:tc>
        <w:tc>
          <w:tcPr>
            <w:tcW w:w="3834" w:type="dxa"/>
            <w:shd w:val="clear" w:color="auto" w:fill="auto"/>
            <w:vAlign w:val="top"/>
          </w:tcPr>
          <w:p w:rsidR="006640E0" w:rsidRDefault="006640E0"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p>
        </w:tc>
      </w:tr>
      <w:tr w:rsidR="00762006" w:rsidRPr="00762006" w:rsidTr="006F6C2E">
        <w:trPr>
          <w:cantSplit/>
          <w:trHeight w:val="315"/>
        </w:trPr>
        <w:tc>
          <w:tcPr>
            <w:cnfStyle w:val="001000000000" w:firstRow="0" w:lastRow="0" w:firstColumn="1" w:lastColumn="0" w:oddVBand="0" w:evenVBand="0" w:oddHBand="0" w:evenHBand="0" w:firstRowFirstColumn="0" w:firstRowLastColumn="0" w:lastRowFirstColumn="0" w:lastRowLastColumn="0"/>
            <w:tcW w:w="3119" w:type="dxa"/>
            <w:vAlign w:val="top"/>
            <w:hideMark/>
          </w:tcPr>
          <w:p w:rsidR="00762006" w:rsidRPr="00762006" w:rsidRDefault="00762006" w:rsidP="000D5446">
            <w:pPr>
              <w:spacing w:before="60" w:after="60"/>
              <w:rPr>
                <w:rFonts w:cs="Calibri"/>
                <w:color w:val="000000"/>
                <w:sz w:val="18"/>
                <w:szCs w:val="18"/>
              </w:rPr>
            </w:pPr>
            <w:r w:rsidRPr="00762006">
              <w:rPr>
                <w:rFonts w:cs="Calibri"/>
                <w:color w:val="000000"/>
                <w:sz w:val="18"/>
                <w:szCs w:val="18"/>
              </w:rPr>
              <w:t>Alternative ways for funding the NDIS</w:t>
            </w:r>
          </w:p>
        </w:tc>
        <w:tc>
          <w:tcPr>
            <w:tcW w:w="2126"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762006">
              <w:rPr>
                <w:rFonts w:cs="Calibri"/>
                <w:color w:val="000000"/>
                <w:sz w:val="18"/>
                <w:szCs w:val="18"/>
              </w:rPr>
              <w:t>Australian Greens</w:t>
            </w:r>
          </w:p>
        </w:tc>
        <w:tc>
          <w:tcPr>
            <w:tcW w:w="2552"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762006">
              <w:rPr>
                <w:rFonts w:cs="Calibri"/>
                <w:color w:val="000000"/>
                <w:sz w:val="18"/>
                <w:szCs w:val="18"/>
              </w:rPr>
              <w:t>Media article</w:t>
            </w:r>
          </w:p>
        </w:tc>
        <w:tc>
          <w:tcPr>
            <w:tcW w:w="1417"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0</w:t>
            </w:r>
            <w:r w:rsidRPr="00762006">
              <w:rPr>
                <w:rFonts w:cs="Calibri"/>
                <w:color w:val="000000"/>
                <w:sz w:val="18"/>
                <w:szCs w:val="18"/>
              </w:rPr>
              <w:t>2/07/2017</w:t>
            </w:r>
          </w:p>
        </w:tc>
        <w:tc>
          <w:tcPr>
            <w:tcW w:w="992"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762006">
              <w:rPr>
                <w:rFonts w:cs="Calibri"/>
                <w:color w:val="000000"/>
                <w:sz w:val="18"/>
                <w:szCs w:val="18"/>
              </w:rPr>
              <w:t>No</w:t>
            </w:r>
          </w:p>
        </w:tc>
        <w:tc>
          <w:tcPr>
            <w:tcW w:w="3834"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n/a</w:t>
            </w:r>
          </w:p>
        </w:tc>
      </w:tr>
      <w:tr w:rsidR="00762006" w:rsidRPr="00762006" w:rsidTr="006F6C2E">
        <w:trPr>
          <w:cnfStyle w:val="000000100000" w:firstRow="0" w:lastRow="0" w:firstColumn="0" w:lastColumn="0" w:oddVBand="0" w:evenVBand="0" w:oddHBand="1" w:evenHBand="0" w:firstRowFirstColumn="0" w:firstRowLastColumn="0" w:lastRowFirstColumn="0" w:lastRowLastColumn="0"/>
          <w:cantSplit/>
          <w:trHeight w:val="1218"/>
        </w:trPr>
        <w:tc>
          <w:tcPr>
            <w:cnfStyle w:val="001000000000" w:firstRow="0" w:lastRow="0" w:firstColumn="1" w:lastColumn="0" w:oddVBand="0" w:evenVBand="0" w:oddHBand="0" w:evenHBand="0" w:firstRowFirstColumn="0" w:firstRowLastColumn="0" w:lastRowFirstColumn="0" w:lastRowLastColumn="0"/>
            <w:tcW w:w="3119" w:type="dxa"/>
            <w:vAlign w:val="top"/>
            <w:hideMark/>
          </w:tcPr>
          <w:p w:rsidR="00762006" w:rsidRPr="00762006" w:rsidRDefault="00762006" w:rsidP="000D5446">
            <w:pPr>
              <w:spacing w:before="60" w:after="60"/>
              <w:rPr>
                <w:rFonts w:cs="Calibri"/>
                <w:color w:val="000000"/>
                <w:sz w:val="18"/>
                <w:szCs w:val="18"/>
              </w:rPr>
            </w:pPr>
            <w:r w:rsidRPr="00762006">
              <w:rPr>
                <w:rFonts w:cs="Calibri"/>
                <w:color w:val="000000"/>
                <w:sz w:val="18"/>
                <w:szCs w:val="18"/>
              </w:rPr>
              <w:t>Helping State and Territory Governments replace Stamp Duty with Land Tax</w:t>
            </w:r>
          </w:p>
        </w:tc>
        <w:tc>
          <w:tcPr>
            <w:tcW w:w="2126" w:type="dxa"/>
            <w:vAlign w:val="top"/>
            <w:hideMark/>
          </w:tcPr>
          <w:p w:rsidR="00762006" w:rsidRPr="00762006" w:rsidRDefault="00762006"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762006">
              <w:rPr>
                <w:rFonts w:cs="Calibri"/>
                <w:color w:val="000000"/>
                <w:sz w:val="18"/>
                <w:szCs w:val="18"/>
              </w:rPr>
              <w:t>Australian Greens</w:t>
            </w:r>
          </w:p>
        </w:tc>
        <w:tc>
          <w:tcPr>
            <w:tcW w:w="2552" w:type="dxa"/>
            <w:vAlign w:val="top"/>
            <w:hideMark/>
          </w:tcPr>
          <w:p w:rsidR="00762006" w:rsidRPr="00762006" w:rsidRDefault="00762006"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762006">
              <w:rPr>
                <w:rFonts w:cs="Calibri"/>
                <w:color w:val="000000"/>
                <w:sz w:val="18"/>
                <w:szCs w:val="18"/>
              </w:rPr>
              <w:t>Media article</w:t>
            </w:r>
          </w:p>
        </w:tc>
        <w:tc>
          <w:tcPr>
            <w:tcW w:w="1417" w:type="dxa"/>
            <w:vAlign w:val="top"/>
            <w:hideMark/>
          </w:tcPr>
          <w:p w:rsidR="00762006" w:rsidRPr="00762006" w:rsidRDefault="00762006"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762006">
              <w:rPr>
                <w:rFonts w:cs="Calibri"/>
                <w:color w:val="000000"/>
                <w:sz w:val="18"/>
                <w:szCs w:val="18"/>
              </w:rPr>
              <w:t>17/07/2017</w:t>
            </w:r>
          </w:p>
        </w:tc>
        <w:tc>
          <w:tcPr>
            <w:tcW w:w="992" w:type="dxa"/>
            <w:vAlign w:val="top"/>
            <w:hideMark/>
          </w:tcPr>
          <w:p w:rsidR="00762006" w:rsidRPr="00762006" w:rsidRDefault="00762006"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762006">
              <w:rPr>
                <w:rFonts w:cs="Calibri"/>
                <w:color w:val="000000"/>
                <w:sz w:val="18"/>
                <w:szCs w:val="18"/>
              </w:rPr>
              <w:t>Yes</w:t>
            </w:r>
          </w:p>
        </w:tc>
        <w:tc>
          <w:tcPr>
            <w:tcW w:w="3834" w:type="dxa"/>
            <w:vAlign w:val="top"/>
            <w:hideMark/>
          </w:tcPr>
          <w:p w:rsidR="00762006" w:rsidRPr="00762006" w:rsidRDefault="00762006" w:rsidP="006640E0">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762006">
              <w:rPr>
                <w:rFonts w:cs="Calibri"/>
                <w:color w:val="000000"/>
                <w:sz w:val="18"/>
                <w:szCs w:val="18"/>
              </w:rPr>
              <w:t>17/07/2017</w:t>
            </w:r>
            <w:r w:rsidR="006640E0">
              <w:rPr>
                <w:rFonts w:cs="Calibri"/>
                <w:color w:val="000000"/>
                <w:sz w:val="18"/>
                <w:szCs w:val="18"/>
              </w:rPr>
              <w:t xml:space="preserve"> - </w:t>
            </w:r>
            <w:r w:rsidR="002C7698" w:rsidRPr="00762006">
              <w:rPr>
                <w:rFonts w:cs="Calibri"/>
                <w:color w:val="000000"/>
                <w:sz w:val="18"/>
                <w:szCs w:val="18"/>
              </w:rPr>
              <w:t>Costing posted on PBO website</w:t>
            </w:r>
          </w:p>
        </w:tc>
      </w:tr>
      <w:tr w:rsidR="00762006" w:rsidRPr="00762006" w:rsidTr="006F6C2E">
        <w:trPr>
          <w:cantSplit/>
          <w:trHeight w:val="480"/>
        </w:trPr>
        <w:tc>
          <w:tcPr>
            <w:cnfStyle w:val="001000000000" w:firstRow="0" w:lastRow="0" w:firstColumn="1" w:lastColumn="0" w:oddVBand="0" w:evenVBand="0" w:oddHBand="0" w:evenHBand="0" w:firstRowFirstColumn="0" w:firstRowLastColumn="0" w:lastRowFirstColumn="0" w:lastRowLastColumn="0"/>
            <w:tcW w:w="3119" w:type="dxa"/>
            <w:vAlign w:val="top"/>
            <w:hideMark/>
          </w:tcPr>
          <w:p w:rsidR="00762006" w:rsidRPr="00762006" w:rsidRDefault="00762006" w:rsidP="000D5446">
            <w:pPr>
              <w:spacing w:before="60" w:after="60"/>
              <w:rPr>
                <w:rFonts w:cs="Calibri"/>
                <w:color w:val="000000"/>
                <w:sz w:val="18"/>
                <w:szCs w:val="18"/>
              </w:rPr>
            </w:pPr>
            <w:r w:rsidRPr="00762006">
              <w:rPr>
                <w:rFonts w:cs="Calibri"/>
                <w:color w:val="000000"/>
                <w:sz w:val="18"/>
                <w:szCs w:val="18"/>
              </w:rPr>
              <w:t>Housing for young people: Freeing up investment properties</w:t>
            </w:r>
          </w:p>
        </w:tc>
        <w:tc>
          <w:tcPr>
            <w:tcW w:w="2126"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762006">
              <w:rPr>
                <w:rFonts w:cs="Calibri"/>
                <w:color w:val="000000"/>
                <w:sz w:val="18"/>
                <w:szCs w:val="18"/>
              </w:rPr>
              <w:t>Australian Greens</w:t>
            </w:r>
          </w:p>
        </w:tc>
        <w:tc>
          <w:tcPr>
            <w:tcW w:w="2552"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762006">
              <w:rPr>
                <w:rFonts w:cs="Calibri"/>
                <w:color w:val="000000"/>
                <w:sz w:val="18"/>
                <w:szCs w:val="18"/>
              </w:rPr>
              <w:t>Media article</w:t>
            </w:r>
          </w:p>
        </w:tc>
        <w:tc>
          <w:tcPr>
            <w:tcW w:w="1417"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762006">
              <w:rPr>
                <w:rFonts w:cs="Calibri"/>
                <w:color w:val="000000"/>
                <w:sz w:val="18"/>
                <w:szCs w:val="18"/>
              </w:rPr>
              <w:t>29/07/2017</w:t>
            </w:r>
          </w:p>
        </w:tc>
        <w:tc>
          <w:tcPr>
            <w:tcW w:w="992"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762006">
              <w:rPr>
                <w:rFonts w:cs="Calibri"/>
                <w:color w:val="000000"/>
                <w:sz w:val="18"/>
                <w:szCs w:val="18"/>
              </w:rPr>
              <w:t>No</w:t>
            </w:r>
          </w:p>
        </w:tc>
        <w:tc>
          <w:tcPr>
            <w:tcW w:w="3834"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n/a</w:t>
            </w:r>
          </w:p>
        </w:tc>
      </w:tr>
      <w:tr w:rsidR="00762006" w:rsidRPr="00762006" w:rsidTr="006F6C2E">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3119" w:type="dxa"/>
            <w:vAlign w:val="top"/>
            <w:hideMark/>
          </w:tcPr>
          <w:p w:rsidR="00762006" w:rsidRPr="00762006" w:rsidRDefault="00762006" w:rsidP="000D5446">
            <w:pPr>
              <w:spacing w:before="60" w:after="60"/>
              <w:rPr>
                <w:rFonts w:cs="Calibri"/>
                <w:color w:val="000000"/>
                <w:sz w:val="18"/>
                <w:szCs w:val="18"/>
              </w:rPr>
            </w:pPr>
            <w:r w:rsidRPr="00762006">
              <w:rPr>
                <w:rFonts w:cs="Calibri"/>
                <w:color w:val="000000"/>
                <w:sz w:val="18"/>
                <w:szCs w:val="18"/>
              </w:rPr>
              <w:t>Introduce a standard minimum 30 per cent tax rate for discretionary trust distributions to mature beneficiaries</w:t>
            </w:r>
          </w:p>
        </w:tc>
        <w:tc>
          <w:tcPr>
            <w:tcW w:w="2126" w:type="dxa"/>
            <w:vAlign w:val="top"/>
            <w:hideMark/>
          </w:tcPr>
          <w:p w:rsidR="00762006" w:rsidRPr="00762006" w:rsidRDefault="00762006"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762006">
              <w:rPr>
                <w:rFonts w:cs="Calibri"/>
                <w:color w:val="000000"/>
                <w:sz w:val="18"/>
                <w:szCs w:val="18"/>
              </w:rPr>
              <w:t xml:space="preserve">Australian </w:t>
            </w:r>
            <w:proofErr w:type="spellStart"/>
            <w:r w:rsidRPr="00762006">
              <w:rPr>
                <w:rFonts w:cs="Calibri"/>
                <w:color w:val="000000"/>
                <w:sz w:val="18"/>
                <w:szCs w:val="18"/>
              </w:rPr>
              <w:t>Labor</w:t>
            </w:r>
            <w:proofErr w:type="spellEnd"/>
            <w:r w:rsidRPr="00762006">
              <w:rPr>
                <w:rFonts w:cs="Calibri"/>
                <w:color w:val="000000"/>
                <w:sz w:val="18"/>
                <w:szCs w:val="18"/>
              </w:rPr>
              <w:t xml:space="preserve"> Party</w:t>
            </w:r>
          </w:p>
        </w:tc>
        <w:tc>
          <w:tcPr>
            <w:tcW w:w="2552" w:type="dxa"/>
            <w:vAlign w:val="top"/>
            <w:hideMark/>
          </w:tcPr>
          <w:p w:rsidR="00762006" w:rsidRPr="00762006" w:rsidRDefault="00762006"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762006">
              <w:rPr>
                <w:rFonts w:cs="Calibri"/>
                <w:color w:val="000000"/>
                <w:sz w:val="18"/>
                <w:szCs w:val="18"/>
              </w:rPr>
              <w:t>Media release</w:t>
            </w:r>
          </w:p>
        </w:tc>
        <w:tc>
          <w:tcPr>
            <w:tcW w:w="1417" w:type="dxa"/>
            <w:vAlign w:val="top"/>
            <w:hideMark/>
          </w:tcPr>
          <w:p w:rsidR="00762006" w:rsidRPr="00762006" w:rsidRDefault="00762006"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762006">
              <w:rPr>
                <w:rFonts w:cs="Calibri"/>
                <w:color w:val="000000"/>
                <w:sz w:val="18"/>
                <w:szCs w:val="18"/>
              </w:rPr>
              <w:t>30/07/2</w:t>
            </w:r>
            <w:r>
              <w:rPr>
                <w:rFonts w:cs="Calibri"/>
                <w:color w:val="000000"/>
                <w:sz w:val="18"/>
                <w:szCs w:val="18"/>
              </w:rPr>
              <w:t>0</w:t>
            </w:r>
            <w:r w:rsidRPr="00762006">
              <w:rPr>
                <w:rFonts w:cs="Calibri"/>
                <w:color w:val="000000"/>
                <w:sz w:val="18"/>
                <w:szCs w:val="18"/>
              </w:rPr>
              <w:t>17</w:t>
            </w:r>
          </w:p>
        </w:tc>
        <w:tc>
          <w:tcPr>
            <w:tcW w:w="992" w:type="dxa"/>
            <w:vAlign w:val="top"/>
            <w:hideMark/>
          </w:tcPr>
          <w:p w:rsidR="00762006" w:rsidRPr="00762006" w:rsidRDefault="00762006"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762006">
              <w:rPr>
                <w:rFonts w:cs="Calibri"/>
                <w:color w:val="000000"/>
                <w:sz w:val="18"/>
                <w:szCs w:val="18"/>
              </w:rPr>
              <w:t>No</w:t>
            </w:r>
          </w:p>
        </w:tc>
        <w:tc>
          <w:tcPr>
            <w:tcW w:w="3834" w:type="dxa"/>
            <w:vAlign w:val="top"/>
            <w:hideMark/>
          </w:tcPr>
          <w:p w:rsidR="00762006" w:rsidRPr="00762006" w:rsidRDefault="00762006"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n/a</w:t>
            </w:r>
          </w:p>
        </w:tc>
      </w:tr>
      <w:tr w:rsidR="00762006" w:rsidRPr="00762006" w:rsidTr="006F6C2E">
        <w:trPr>
          <w:cantSplit/>
          <w:trHeight w:val="756"/>
        </w:trPr>
        <w:tc>
          <w:tcPr>
            <w:cnfStyle w:val="001000000000" w:firstRow="0" w:lastRow="0" w:firstColumn="1" w:lastColumn="0" w:oddVBand="0" w:evenVBand="0" w:oddHBand="0" w:evenHBand="0" w:firstRowFirstColumn="0" w:firstRowLastColumn="0" w:lastRowFirstColumn="0" w:lastRowLastColumn="0"/>
            <w:tcW w:w="3119" w:type="dxa"/>
            <w:vAlign w:val="top"/>
            <w:hideMark/>
          </w:tcPr>
          <w:p w:rsidR="00762006" w:rsidRPr="00762006" w:rsidRDefault="00762006" w:rsidP="000D5446">
            <w:pPr>
              <w:spacing w:before="60" w:after="60"/>
              <w:rPr>
                <w:rFonts w:cs="Calibri"/>
                <w:color w:val="000000"/>
                <w:sz w:val="18"/>
                <w:szCs w:val="18"/>
              </w:rPr>
            </w:pPr>
            <w:r w:rsidRPr="00762006">
              <w:rPr>
                <w:rFonts w:cs="Calibri"/>
                <w:color w:val="000000"/>
                <w:sz w:val="18"/>
                <w:szCs w:val="18"/>
              </w:rPr>
              <w:t>GST-Free Electricity</w:t>
            </w:r>
          </w:p>
        </w:tc>
        <w:tc>
          <w:tcPr>
            <w:tcW w:w="2126"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762006">
              <w:rPr>
                <w:rFonts w:cs="Calibri"/>
                <w:color w:val="000000"/>
                <w:sz w:val="18"/>
                <w:szCs w:val="18"/>
              </w:rPr>
              <w:t xml:space="preserve">Senator David </w:t>
            </w:r>
            <w:proofErr w:type="spellStart"/>
            <w:r w:rsidRPr="00762006">
              <w:rPr>
                <w:rFonts w:cs="Calibri"/>
                <w:color w:val="000000"/>
                <w:sz w:val="18"/>
                <w:szCs w:val="18"/>
              </w:rPr>
              <w:t>Leyonhjelm</w:t>
            </w:r>
            <w:proofErr w:type="spellEnd"/>
          </w:p>
        </w:tc>
        <w:tc>
          <w:tcPr>
            <w:tcW w:w="2552"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762006">
              <w:rPr>
                <w:rFonts w:cs="Calibri"/>
                <w:color w:val="000000"/>
                <w:sz w:val="18"/>
                <w:szCs w:val="18"/>
              </w:rPr>
              <w:t xml:space="preserve">Introduction of </w:t>
            </w:r>
            <w:r>
              <w:rPr>
                <w:rFonts w:cs="Calibri"/>
                <w:color w:val="000000"/>
                <w:sz w:val="18"/>
                <w:szCs w:val="18"/>
              </w:rPr>
              <w:t>B</w:t>
            </w:r>
            <w:r w:rsidRPr="00762006">
              <w:rPr>
                <w:rFonts w:cs="Calibri"/>
                <w:color w:val="000000"/>
                <w:sz w:val="18"/>
                <w:szCs w:val="18"/>
              </w:rPr>
              <w:t xml:space="preserve">ill into </w:t>
            </w:r>
            <w:r>
              <w:rPr>
                <w:rFonts w:cs="Calibri"/>
                <w:color w:val="000000"/>
                <w:sz w:val="18"/>
                <w:szCs w:val="18"/>
              </w:rPr>
              <w:t>P</w:t>
            </w:r>
            <w:r w:rsidRPr="00762006">
              <w:rPr>
                <w:rFonts w:cs="Calibri"/>
                <w:color w:val="000000"/>
                <w:sz w:val="18"/>
                <w:szCs w:val="18"/>
              </w:rPr>
              <w:t>arliament</w:t>
            </w:r>
          </w:p>
        </w:tc>
        <w:tc>
          <w:tcPr>
            <w:tcW w:w="1417"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0</w:t>
            </w:r>
            <w:r w:rsidRPr="00762006">
              <w:rPr>
                <w:rFonts w:cs="Calibri"/>
                <w:color w:val="000000"/>
                <w:sz w:val="18"/>
                <w:szCs w:val="18"/>
              </w:rPr>
              <w:t>5/09/2017</w:t>
            </w:r>
          </w:p>
        </w:tc>
        <w:tc>
          <w:tcPr>
            <w:tcW w:w="992"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762006">
              <w:rPr>
                <w:rFonts w:cs="Calibri"/>
                <w:color w:val="000000"/>
                <w:sz w:val="18"/>
                <w:szCs w:val="18"/>
              </w:rPr>
              <w:t>Yes</w:t>
            </w:r>
          </w:p>
        </w:tc>
        <w:tc>
          <w:tcPr>
            <w:tcW w:w="3834" w:type="dxa"/>
            <w:vAlign w:val="top"/>
            <w:hideMark/>
          </w:tcPr>
          <w:p w:rsidR="00762006" w:rsidRPr="00762006" w:rsidRDefault="00762006" w:rsidP="00A44FAF">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762006">
              <w:rPr>
                <w:rFonts w:cs="Calibri"/>
                <w:color w:val="000000"/>
                <w:sz w:val="18"/>
                <w:szCs w:val="18"/>
              </w:rPr>
              <w:t>05/09/2017</w:t>
            </w:r>
            <w:r w:rsidR="00A44FAF">
              <w:rPr>
                <w:rFonts w:cs="Calibri"/>
                <w:color w:val="000000"/>
                <w:sz w:val="18"/>
                <w:szCs w:val="18"/>
              </w:rPr>
              <w:t xml:space="preserve"> - Co</w:t>
            </w:r>
            <w:r w:rsidRPr="00762006">
              <w:rPr>
                <w:rFonts w:cs="Calibri"/>
                <w:color w:val="000000"/>
                <w:sz w:val="18"/>
                <w:szCs w:val="18"/>
              </w:rPr>
              <w:t xml:space="preserve">sting included in explanatory memorandum to </w:t>
            </w:r>
            <w:r w:rsidR="00FA1577">
              <w:rPr>
                <w:rFonts w:cs="Calibri"/>
                <w:color w:val="000000"/>
                <w:sz w:val="18"/>
                <w:szCs w:val="18"/>
              </w:rPr>
              <w:t>B</w:t>
            </w:r>
            <w:r w:rsidRPr="00762006">
              <w:rPr>
                <w:rFonts w:cs="Calibri"/>
                <w:color w:val="000000"/>
                <w:sz w:val="18"/>
                <w:szCs w:val="18"/>
              </w:rPr>
              <w:t>ill and posted on PBO website.</w:t>
            </w:r>
          </w:p>
        </w:tc>
      </w:tr>
      <w:tr w:rsidR="00762006" w:rsidRPr="00762006" w:rsidTr="006F6C2E">
        <w:trPr>
          <w:cnfStyle w:val="000000100000" w:firstRow="0" w:lastRow="0" w:firstColumn="0" w:lastColumn="0" w:oddVBand="0" w:evenVBand="0" w:oddHBand="1" w:evenHBand="0" w:firstRowFirstColumn="0" w:firstRowLastColumn="0" w:lastRowFirstColumn="0" w:lastRowLastColumn="0"/>
          <w:cantSplit/>
          <w:trHeight w:val="1200"/>
        </w:trPr>
        <w:tc>
          <w:tcPr>
            <w:cnfStyle w:val="001000000000" w:firstRow="0" w:lastRow="0" w:firstColumn="1" w:lastColumn="0" w:oddVBand="0" w:evenVBand="0" w:oddHBand="0" w:evenHBand="0" w:firstRowFirstColumn="0" w:firstRowLastColumn="0" w:lastRowFirstColumn="0" w:lastRowLastColumn="0"/>
            <w:tcW w:w="3119" w:type="dxa"/>
            <w:vAlign w:val="top"/>
            <w:hideMark/>
          </w:tcPr>
          <w:p w:rsidR="00762006" w:rsidRPr="00762006" w:rsidRDefault="00762006" w:rsidP="000D5446">
            <w:pPr>
              <w:spacing w:before="60" w:after="60"/>
              <w:rPr>
                <w:rFonts w:cs="Calibri"/>
                <w:color w:val="000000"/>
                <w:sz w:val="18"/>
                <w:szCs w:val="18"/>
              </w:rPr>
            </w:pPr>
            <w:r w:rsidRPr="00762006">
              <w:rPr>
                <w:rFonts w:cs="Calibri"/>
                <w:color w:val="000000"/>
                <w:sz w:val="18"/>
                <w:szCs w:val="18"/>
              </w:rPr>
              <w:t>Higher threshold for Regional Student HELP repayments</w:t>
            </w:r>
          </w:p>
        </w:tc>
        <w:tc>
          <w:tcPr>
            <w:tcW w:w="2126" w:type="dxa"/>
            <w:vAlign w:val="top"/>
            <w:hideMark/>
          </w:tcPr>
          <w:p w:rsidR="00762006" w:rsidRPr="00762006" w:rsidRDefault="00762006"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762006">
              <w:rPr>
                <w:rFonts w:cs="Calibri"/>
                <w:color w:val="000000"/>
                <w:sz w:val="18"/>
                <w:szCs w:val="18"/>
              </w:rPr>
              <w:t>Ms Cathy McGowan AO MP</w:t>
            </w:r>
          </w:p>
        </w:tc>
        <w:tc>
          <w:tcPr>
            <w:tcW w:w="2552" w:type="dxa"/>
            <w:vAlign w:val="top"/>
            <w:hideMark/>
          </w:tcPr>
          <w:p w:rsidR="00762006" w:rsidRPr="00762006" w:rsidRDefault="00762006"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762006">
              <w:rPr>
                <w:rFonts w:cs="Calibri"/>
                <w:color w:val="000000"/>
                <w:sz w:val="18"/>
                <w:szCs w:val="18"/>
              </w:rPr>
              <w:t xml:space="preserve">Moving amendment to </w:t>
            </w:r>
            <w:r w:rsidRPr="00762006">
              <w:rPr>
                <w:rFonts w:cs="Calibri"/>
                <w:iCs/>
                <w:color w:val="000000"/>
                <w:sz w:val="18"/>
                <w:szCs w:val="18"/>
              </w:rPr>
              <w:t>Higher Education Support Legislation</w:t>
            </w:r>
            <w:r w:rsidR="00FA1577" w:rsidRPr="00FA1577">
              <w:rPr>
                <w:rFonts w:cs="Calibri"/>
                <w:iCs/>
                <w:color w:val="000000"/>
                <w:sz w:val="18"/>
                <w:szCs w:val="18"/>
              </w:rPr>
              <w:t xml:space="preserve"> </w:t>
            </w:r>
            <w:r w:rsidRPr="00762006">
              <w:rPr>
                <w:rFonts w:cs="Calibri"/>
                <w:iCs/>
                <w:color w:val="000000"/>
                <w:sz w:val="18"/>
                <w:szCs w:val="18"/>
              </w:rPr>
              <w:t>Amendment (A</w:t>
            </w:r>
            <w:r w:rsidR="00FA1577" w:rsidRPr="00FA1577">
              <w:rPr>
                <w:rFonts w:cs="Calibri"/>
                <w:iCs/>
                <w:color w:val="000000"/>
                <w:sz w:val="18"/>
                <w:szCs w:val="18"/>
              </w:rPr>
              <w:t> </w:t>
            </w:r>
            <w:r w:rsidRPr="00762006">
              <w:rPr>
                <w:rFonts w:cs="Calibri"/>
                <w:iCs/>
                <w:color w:val="000000"/>
                <w:sz w:val="18"/>
                <w:szCs w:val="18"/>
              </w:rPr>
              <w:t>More Sustainable,</w:t>
            </w:r>
            <w:r w:rsidR="00FA1577" w:rsidRPr="00FA1577">
              <w:rPr>
                <w:rFonts w:cs="Calibri"/>
                <w:iCs/>
                <w:color w:val="000000"/>
                <w:sz w:val="18"/>
                <w:szCs w:val="18"/>
              </w:rPr>
              <w:t xml:space="preserve"> </w:t>
            </w:r>
            <w:r w:rsidRPr="00762006">
              <w:rPr>
                <w:rFonts w:cs="Calibri"/>
                <w:iCs/>
                <w:color w:val="000000"/>
                <w:sz w:val="18"/>
                <w:szCs w:val="18"/>
              </w:rPr>
              <w:t>Responsive and Transparent</w:t>
            </w:r>
            <w:r w:rsidR="00FA1577" w:rsidRPr="00FA1577">
              <w:rPr>
                <w:rFonts w:cs="Calibri"/>
                <w:iCs/>
                <w:color w:val="000000"/>
                <w:sz w:val="18"/>
                <w:szCs w:val="18"/>
              </w:rPr>
              <w:t xml:space="preserve"> </w:t>
            </w:r>
            <w:r w:rsidRPr="00762006">
              <w:rPr>
                <w:rFonts w:cs="Calibri"/>
                <w:iCs/>
                <w:color w:val="000000"/>
                <w:sz w:val="18"/>
                <w:szCs w:val="18"/>
              </w:rPr>
              <w:t>Higher Education System) Bill 2017</w:t>
            </w:r>
          </w:p>
        </w:tc>
        <w:tc>
          <w:tcPr>
            <w:tcW w:w="1417" w:type="dxa"/>
            <w:vAlign w:val="top"/>
            <w:hideMark/>
          </w:tcPr>
          <w:p w:rsidR="00762006" w:rsidRPr="00762006" w:rsidRDefault="00762006"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762006">
              <w:rPr>
                <w:rFonts w:cs="Calibri"/>
                <w:color w:val="000000"/>
                <w:sz w:val="18"/>
                <w:szCs w:val="18"/>
              </w:rPr>
              <w:t>13/09/2017</w:t>
            </w:r>
          </w:p>
        </w:tc>
        <w:tc>
          <w:tcPr>
            <w:tcW w:w="992" w:type="dxa"/>
            <w:vAlign w:val="top"/>
            <w:hideMark/>
          </w:tcPr>
          <w:p w:rsidR="00762006" w:rsidRPr="00762006" w:rsidRDefault="00762006"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762006">
              <w:rPr>
                <w:rFonts w:cs="Calibri"/>
                <w:color w:val="000000"/>
                <w:sz w:val="18"/>
                <w:szCs w:val="18"/>
              </w:rPr>
              <w:t>Yes</w:t>
            </w:r>
          </w:p>
        </w:tc>
        <w:tc>
          <w:tcPr>
            <w:tcW w:w="3834" w:type="dxa"/>
            <w:vAlign w:val="top"/>
            <w:hideMark/>
          </w:tcPr>
          <w:p w:rsidR="00762006" w:rsidRPr="00762006" w:rsidRDefault="00762006" w:rsidP="00A44FAF">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762006">
              <w:rPr>
                <w:rFonts w:cs="Calibri"/>
                <w:color w:val="000000"/>
                <w:sz w:val="18"/>
                <w:szCs w:val="18"/>
              </w:rPr>
              <w:t>14/09/2017</w:t>
            </w:r>
            <w:r w:rsidR="00A44FAF">
              <w:rPr>
                <w:rFonts w:cs="Calibri"/>
                <w:color w:val="000000"/>
                <w:sz w:val="18"/>
                <w:szCs w:val="18"/>
              </w:rPr>
              <w:t xml:space="preserve"> - </w:t>
            </w:r>
            <w:r w:rsidRPr="00762006">
              <w:rPr>
                <w:rFonts w:cs="Calibri"/>
                <w:color w:val="000000"/>
                <w:sz w:val="18"/>
                <w:szCs w:val="18"/>
              </w:rPr>
              <w:t>Costing posted on PBO website</w:t>
            </w:r>
          </w:p>
        </w:tc>
      </w:tr>
      <w:tr w:rsidR="00762006" w:rsidRPr="00762006" w:rsidTr="006F6C2E">
        <w:trPr>
          <w:cantSplit/>
          <w:trHeight w:val="347"/>
        </w:trPr>
        <w:tc>
          <w:tcPr>
            <w:cnfStyle w:val="001000000000" w:firstRow="0" w:lastRow="0" w:firstColumn="1" w:lastColumn="0" w:oddVBand="0" w:evenVBand="0" w:oddHBand="0" w:evenHBand="0" w:firstRowFirstColumn="0" w:firstRowLastColumn="0" w:lastRowFirstColumn="0" w:lastRowLastColumn="0"/>
            <w:tcW w:w="3119" w:type="dxa"/>
            <w:vAlign w:val="top"/>
            <w:hideMark/>
          </w:tcPr>
          <w:p w:rsidR="00762006" w:rsidRPr="00762006" w:rsidRDefault="00762006" w:rsidP="000D5446">
            <w:pPr>
              <w:spacing w:before="60" w:after="60"/>
              <w:rPr>
                <w:rFonts w:cs="Calibri"/>
                <w:color w:val="000000"/>
                <w:sz w:val="18"/>
                <w:szCs w:val="18"/>
              </w:rPr>
            </w:pPr>
            <w:r w:rsidRPr="00762006">
              <w:rPr>
                <w:rFonts w:cs="Calibri"/>
                <w:color w:val="000000"/>
                <w:sz w:val="18"/>
                <w:szCs w:val="18"/>
              </w:rPr>
              <w:t>Addressing fraudulent phoenix activity</w:t>
            </w:r>
          </w:p>
        </w:tc>
        <w:tc>
          <w:tcPr>
            <w:tcW w:w="2126"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762006">
              <w:rPr>
                <w:rFonts w:cs="Calibri"/>
                <w:color w:val="000000"/>
                <w:sz w:val="18"/>
                <w:szCs w:val="18"/>
              </w:rPr>
              <w:t>Hon Dr Andrew Leigh MP</w:t>
            </w:r>
          </w:p>
        </w:tc>
        <w:tc>
          <w:tcPr>
            <w:tcW w:w="2552"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762006">
              <w:rPr>
                <w:rFonts w:cs="Calibri"/>
                <w:color w:val="000000"/>
                <w:sz w:val="18"/>
                <w:szCs w:val="18"/>
              </w:rPr>
              <w:t xml:space="preserve">Parliamentary </w:t>
            </w:r>
            <w:r w:rsidR="00FA1577">
              <w:rPr>
                <w:rFonts w:cs="Calibri"/>
                <w:color w:val="000000"/>
                <w:sz w:val="18"/>
                <w:szCs w:val="18"/>
              </w:rPr>
              <w:t>s</w:t>
            </w:r>
            <w:r w:rsidRPr="00762006">
              <w:rPr>
                <w:rFonts w:cs="Calibri"/>
                <w:color w:val="000000"/>
                <w:sz w:val="18"/>
                <w:szCs w:val="18"/>
              </w:rPr>
              <w:t>peech</w:t>
            </w:r>
          </w:p>
        </w:tc>
        <w:tc>
          <w:tcPr>
            <w:tcW w:w="1417"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762006">
              <w:rPr>
                <w:rFonts w:cs="Calibri"/>
                <w:color w:val="000000"/>
                <w:sz w:val="18"/>
                <w:szCs w:val="18"/>
              </w:rPr>
              <w:t>14/09/2017</w:t>
            </w:r>
          </w:p>
        </w:tc>
        <w:tc>
          <w:tcPr>
            <w:tcW w:w="992"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762006">
              <w:rPr>
                <w:rFonts w:cs="Calibri"/>
                <w:color w:val="000000"/>
                <w:sz w:val="18"/>
                <w:szCs w:val="18"/>
              </w:rPr>
              <w:t>No</w:t>
            </w:r>
          </w:p>
        </w:tc>
        <w:tc>
          <w:tcPr>
            <w:tcW w:w="3834"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n/a</w:t>
            </w:r>
          </w:p>
        </w:tc>
      </w:tr>
      <w:tr w:rsidR="00762006" w:rsidRPr="00762006" w:rsidTr="006F6C2E">
        <w:trPr>
          <w:cnfStyle w:val="000000100000" w:firstRow="0" w:lastRow="0" w:firstColumn="0" w:lastColumn="0" w:oddVBand="0" w:evenVBand="0" w:oddHBand="1" w:evenHBand="0" w:firstRowFirstColumn="0" w:firstRowLastColumn="0" w:lastRowFirstColumn="0" w:lastRowLastColumn="0"/>
          <w:cantSplit/>
          <w:trHeight w:val="600"/>
        </w:trPr>
        <w:tc>
          <w:tcPr>
            <w:cnfStyle w:val="001000000000" w:firstRow="0" w:lastRow="0" w:firstColumn="1" w:lastColumn="0" w:oddVBand="0" w:evenVBand="0" w:oddHBand="0" w:evenHBand="0" w:firstRowFirstColumn="0" w:firstRowLastColumn="0" w:lastRowFirstColumn="0" w:lastRowLastColumn="0"/>
            <w:tcW w:w="3119" w:type="dxa"/>
            <w:vAlign w:val="top"/>
            <w:hideMark/>
          </w:tcPr>
          <w:p w:rsidR="00762006" w:rsidRPr="00762006" w:rsidRDefault="00762006" w:rsidP="000D5446">
            <w:pPr>
              <w:spacing w:before="60" w:after="60"/>
              <w:rPr>
                <w:rFonts w:cs="Calibri"/>
                <w:color w:val="000000"/>
                <w:sz w:val="18"/>
                <w:szCs w:val="18"/>
              </w:rPr>
            </w:pPr>
            <w:r w:rsidRPr="00762006">
              <w:rPr>
                <w:rFonts w:cs="Calibri"/>
                <w:color w:val="000000"/>
                <w:sz w:val="18"/>
                <w:szCs w:val="18"/>
              </w:rPr>
              <w:t>Restore Australian Federal Police presence at Hobart Airport</w:t>
            </w:r>
          </w:p>
        </w:tc>
        <w:tc>
          <w:tcPr>
            <w:tcW w:w="2126" w:type="dxa"/>
            <w:vAlign w:val="top"/>
            <w:hideMark/>
          </w:tcPr>
          <w:p w:rsidR="00762006" w:rsidRPr="00762006" w:rsidRDefault="00762006"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762006">
              <w:rPr>
                <w:rFonts w:cs="Calibri"/>
                <w:color w:val="000000"/>
                <w:sz w:val="18"/>
                <w:szCs w:val="18"/>
              </w:rPr>
              <w:t xml:space="preserve">Australian </w:t>
            </w:r>
            <w:proofErr w:type="spellStart"/>
            <w:r w:rsidRPr="00762006">
              <w:rPr>
                <w:rFonts w:cs="Calibri"/>
                <w:color w:val="000000"/>
                <w:sz w:val="18"/>
                <w:szCs w:val="18"/>
              </w:rPr>
              <w:t>Labor</w:t>
            </w:r>
            <w:proofErr w:type="spellEnd"/>
            <w:r w:rsidRPr="00762006">
              <w:rPr>
                <w:rFonts w:cs="Calibri"/>
                <w:color w:val="000000"/>
                <w:sz w:val="18"/>
                <w:szCs w:val="18"/>
              </w:rPr>
              <w:t xml:space="preserve"> Party</w:t>
            </w:r>
          </w:p>
        </w:tc>
        <w:tc>
          <w:tcPr>
            <w:tcW w:w="2552" w:type="dxa"/>
            <w:vAlign w:val="top"/>
            <w:hideMark/>
          </w:tcPr>
          <w:p w:rsidR="00762006" w:rsidRPr="00762006" w:rsidRDefault="00762006"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762006">
              <w:rPr>
                <w:rFonts w:cs="Calibri"/>
                <w:color w:val="000000"/>
                <w:sz w:val="18"/>
                <w:szCs w:val="18"/>
              </w:rPr>
              <w:t xml:space="preserve">Media </w:t>
            </w:r>
            <w:r w:rsidR="00FA1577">
              <w:rPr>
                <w:rFonts w:cs="Calibri"/>
                <w:color w:val="000000"/>
                <w:sz w:val="18"/>
                <w:szCs w:val="18"/>
              </w:rPr>
              <w:t>r</w:t>
            </w:r>
            <w:r w:rsidRPr="00762006">
              <w:rPr>
                <w:rFonts w:cs="Calibri"/>
                <w:color w:val="000000"/>
                <w:sz w:val="18"/>
                <w:szCs w:val="18"/>
              </w:rPr>
              <w:t>elease</w:t>
            </w:r>
          </w:p>
        </w:tc>
        <w:tc>
          <w:tcPr>
            <w:tcW w:w="1417" w:type="dxa"/>
            <w:vAlign w:val="top"/>
            <w:hideMark/>
          </w:tcPr>
          <w:p w:rsidR="00762006" w:rsidRPr="00762006" w:rsidRDefault="00762006"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762006">
              <w:rPr>
                <w:rFonts w:cs="Calibri"/>
                <w:color w:val="000000"/>
                <w:sz w:val="18"/>
                <w:szCs w:val="18"/>
              </w:rPr>
              <w:t>15/09/2017</w:t>
            </w:r>
          </w:p>
        </w:tc>
        <w:tc>
          <w:tcPr>
            <w:tcW w:w="992" w:type="dxa"/>
            <w:vAlign w:val="top"/>
            <w:hideMark/>
          </w:tcPr>
          <w:p w:rsidR="00762006" w:rsidRPr="00762006" w:rsidRDefault="00762006"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762006">
              <w:rPr>
                <w:rFonts w:cs="Calibri"/>
                <w:color w:val="000000"/>
                <w:sz w:val="18"/>
                <w:szCs w:val="18"/>
              </w:rPr>
              <w:t>No</w:t>
            </w:r>
          </w:p>
        </w:tc>
        <w:tc>
          <w:tcPr>
            <w:tcW w:w="3834" w:type="dxa"/>
            <w:vAlign w:val="top"/>
            <w:hideMark/>
          </w:tcPr>
          <w:p w:rsidR="00762006" w:rsidRPr="00762006" w:rsidRDefault="00762006"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n/a</w:t>
            </w:r>
          </w:p>
        </w:tc>
      </w:tr>
      <w:tr w:rsidR="00762006" w:rsidRPr="00762006" w:rsidTr="006F6C2E">
        <w:trPr>
          <w:cantSplit/>
          <w:trHeight w:val="303"/>
        </w:trPr>
        <w:tc>
          <w:tcPr>
            <w:cnfStyle w:val="001000000000" w:firstRow="0" w:lastRow="0" w:firstColumn="1" w:lastColumn="0" w:oddVBand="0" w:evenVBand="0" w:oddHBand="0" w:evenHBand="0" w:firstRowFirstColumn="0" w:firstRowLastColumn="0" w:lastRowFirstColumn="0" w:lastRowLastColumn="0"/>
            <w:tcW w:w="3119" w:type="dxa"/>
            <w:vAlign w:val="top"/>
            <w:hideMark/>
          </w:tcPr>
          <w:p w:rsidR="00762006" w:rsidRPr="00762006" w:rsidRDefault="00762006" w:rsidP="000D5446">
            <w:pPr>
              <w:spacing w:before="60" w:after="60"/>
              <w:rPr>
                <w:rFonts w:cs="Calibri"/>
                <w:color w:val="000000"/>
                <w:sz w:val="18"/>
                <w:szCs w:val="18"/>
              </w:rPr>
            </w:pPr>
            <w:r w:rsidRPr="00762006">
              <w:rPr>
                <w:rFonts w:cs="Calibri"/>
                <w:color w:val="000000"/>
                <w:sz w:val="18"/>
                <w:szCs w:val="18"/>
              </w:rPr>
              <w:t>Funding for a National Space Agency</w:t>
            </w:r>
          </w:p>
        </w:tc>
        <w:tc>
          <w:tcPr>
            <w:tcW w:w="2126"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762006">
              <w:rPr>
                <w:rFonts w:cs="Calibri"/>
                <w:color w:val="000000"/>
                <w:sz w:val="18"/>
                <w:szCs w:val="18"/>
              </w:rPr>
              <w:t xml:space="preserve">Senator </w:t>
            </w:r>
            <w:r w:rsidR="00FA1577">
              <w:rPr>
                <w:rFonts w:cs="Calibri"/>
                <w:color w:val="000000"/>
                <w:sz w:val="18"/>
                <w:szCs w:val="18"/>
              </w:rPr>
              <w:t xml:space="preserve">the </w:t>
            </w:r>
            <w:r w:rsidRPr="00762006">
              <w:rPr>
                <w:rFonts w:cs="Calibri"/>
                <w:color w:val="000000"/>
                <w:sz w:val="18"/>
                <w:szCs w:val="18"/>
              </w:rPr>
              <w:t>Hon Kim Carr</w:t>
            </w:r>
          </w:p>
        </w:tc>
        <w:tc>
          <w:tcPr>
            <w:tcW w:w="2552"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762006">
              <w:rPr>
                <w:rFonts w:cs="Calibri"/>
                <w:color w:val="000000"/>
                <w:sz w:val="18"/>
                <w:szCs w:val="18"/>
              </w:rPr>
              <w:t xml:space="preserve">Media </w:t>
            </w:r>
            <w:r w:rsidR="00FA1577">
              <w:rPr>
                <w:rFonts w:cs="Calibri"/>
                <w:color w:val="000000"/>
                <w:sz w:val="18"/>
                <w:szCs w:val="18"/>
              </w:rPr>
              <w:t>r</w:t>
            </w:r>
            <w:r w:rsidRPr="00762006">
              <w:rPr>
                <w:rFonts w:cs="Calibri"/>
                <w:color w:val="000000"/>
                <w:sz w:val="18"/>
                <w:szCs w:val="18"/>
              </w:rPr>
              <w:t>elease</w:t>
            </w:r>
          </w:p>
        </w:tc>
        <w:tc>
          <w:tcPr>
            <w:tcW w:w="1417"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762006">
              <w:rPr>
                <w:rFonts w:cs="Calibri"/>
                <w:color w:val="000000"/>
                <w:sz w:val="18"/>
                <w:szCs w:val="18"/>
              </w:rPr>
              <w:t>25/09/2017</w:t>
            </w:r>
          </w:p>
        </w:tc>
        <w:tc>
          <w:tcPr>
            <w:tcW w:w="992"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762006">
              <w:rPr>
                <w:rFonts w:cs="Calibri"/>
                <w:color w:val="000000"/>
                <w:sz w:val="18"/>
                <w:szCs w:val="18"/>
              </w:rPr>
              <w:t>No</w:t>
            </w:r>
          </w:p>
        </w:tc>
        <w:tc>
          <w:tcPr>
            <w:tcW w:w="3834" w:type="dxa"/>
            <w:vAlign w:val="top"/>
            <w:hideMark/>
          </w:tcPr>
          <w:p w:rsidR="00762006" w:rsidRPr="00762006" w:rsidRDefault="00762006" w:rsidP="000D5446">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n/a</w:t>
            </w:r>
          </w:p>
        </w:tc>
      </w:tr>
      <w:tr w:rsidR="00723E24" w:rsidRPr="00762006" w:rsidTr="006F6C2E">
        <w:trPr>
          <w:cnfStyle w:val="000000100000" w:firstRow="0" w:lastRow="0" w:firstColumn="0" w:lastColumn="0" w:oddVBand="0" w:evenVBand="0" w:oddHBand="1" w:evenHBand="0" w:firstRowFirstColumn="0" w:firstRowLastColumn="0" w:lastRowFirstColumn="0" w:lastRowLastColumn="0"/>
          <w:cantSplit/>
          <w:trHeight w:val="303"/>
        </w:trPr>
        <w:tc>
          <w:tcPr>
            <w:cnfStyle w:val="001000000000" w:firstRow="0" w:lastRow="0" w:firstColumn="1" w:lastColumn="0" w:oddVBand="0" w:evenVBand="0" w:oddHBand="0" w:evenHBand="0" w:firstRowFirstColumn="0" w:firstRowLastColumn="0" w:lastRowFirstColumn="0" w:lastRowLastColumn="0"/>
            <w:tcW w:w="3119" w:type="dxa"/>
            <w:vAlign w:val="top"/>
          </w:tcPr>
          <w:p w:rsidR="00723E24" w:rsidRPr="00762006" w:rsidRDefault="00723E24" w:rsidP="000D5446">
            <w:pPr>
              <w:spacing w:before="60" w:after="60"/>
              <w:rPr>
                <w:rFonts w:cs="Calibri"/>
                <w:color w:val="000000"/>
                <w:sz w:val="18"/>
                <w:szCs w:val="18"/>
              </w:rPr>
            </w:pPr>
            <w:r>
              <w:rPr>
                <w:rFonts w:cs="Calibri"/>
                <w:color w:val="000000"/>
                <w:sz w:val="18"/>
                <w:szCs w:val="18"/>
              </w:rPr>
              <w:lastRenderedPageBreak/>
              <w:t>Higher education and vocational education and training</w:t>
            </w:r>
          </w:p>
        </w:tc>
        <w:tc>
          <w:tcPr>
            <w:tcW w:w="2126" w:type="dxa"/>
            <w:vAlign w:val="top"/>
          </w:tcPr>
          <w:p w:rsidR="00723E24" w:rsidRPr="00762006" w:rsidRDefault="00723E24"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 xml:space="preserve">Senator David </w:t>
            </w:r>
            <w:proofErr w:type="spellStart"/>
            <w:r>
              <w:rPr>
                <w:rFonts w:cs="Calibri"/>
                <w:color w:val="000000"/>
                <w:sz w:val="18"/>
                <w:szCs w:val="18"/>
              </w:rPr>
              <w:t>Leyonhjelm</w:t>
            </w:r>
            <w:proofErr w:type="spellEnd"/>
          </w:p>
        </w:tc>
        <w:tc>
          <w:tcPr>
            <w:tcW w:w="2552" w:type="dxa"/>
            <w:vAlign w:val="top"/>
          </w:tcPr>
          <w:p w:rsidR="00723E24" w:rsidRPr="00762006" w:rsidRDefault="00723E24"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Media article</w:t>
            </w:r>
          </w:p>
        </w:tc>
        <w:tc>
          <w:tcPr>
            <w:tcW w:w="1417" w:type="dxa"/>
            <w:vAlign w:val="top"/>
          </w:tcPr>
          <w:p w:rsidR="00723E24" w:rsidRPr="00762006" w:rsidRDefault="00723E24"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17/10/2017</w:t>
            </w:r>
          </w:p>
        </w:tc>
        <w:tc>
          <w:tcPr>
            <w:tcW w:w="992" w:type="dxa"/>
            <w:vAlign w:val="top"/>
          </w:tcPr>
          <w:p w:rsidR="00723E24" w:rsidRPr="00762006" w:rsidRDefault="00723E24" w:rsidP="000D5446">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Yes</w:t>
            </w:r>
          </w:p>
        </w:tc>
        <w:tc>
          <w:tcPr>
            <w:tcW w:w="3834" w:type="dxa"/>
            <w:vAlign w:val="top"/>
          </w:tcPr>
          <w:p w:rsidR="00FE34BA" w:rsidRDefault="00723E24" w:rsidP="00A44FAF">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19/10/2017</w:t>
            </w:r>
            <w:r w:rsidR="00A44FAF">
              <w:rPr>
                <w:rFonts w:cs="Calibri"/>
                <w:color w:val="000000"/>
                <w:sz w:val="18"/>
                <w:szCs w:val="18"/>
              </w:rPr>
              <w:t xml:space="preserve"> - </w:t>
            </w:r>
            <w:r w:rsidR="00FE34BA">
              <w:rPr>
                <w:rFonts w:cs="Calibri"/>
                <w:color w:val="000000"/>
                <w:sz w:val="18"/>
                <w:szCs w:val="18"/>
              </w:rPr>
              <w:t>Costing posted on PBO website</w:t>
            </w:r>
          </w:p>
        </w:tc>
      </w:tr>
      <w:tr w:rsidR="009C66DB" w:rsidRPr="00762006" w:rsidTr="006F6C2E">
        <w:trPr>
          <w:cantSplit/>
          <w:trHeight w:val="303"/>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DBE5F1" w:themeColor="accent1" w:themeTint="33"/>
            </w:tcBorders>
            <w:vAlign w:val="top"/>
          </w:tcPr>
          <w:p w:rsidR="009C66DB" w:rsidRPr="00014105" w:rsidRDefault="009C66DB" w:rsidP="00A73CE0">
            <w:pPr>
              <w:spacing w:before="60" w:after="60"/>
              <w:rPr>
                <w:rFonts w:cs="Calibri"/>
                <w:color w:val="000000"/>
                <w:sz w:val="18"/>
                <w:szCs w:val="18"/>
              </w:rPr>
            </w:pPr>
            <w:r>
              <w:rPr>
                <w:rFonts w:cs="Calibri"/>
                <w:color w:val="000000"/>
                <w:sz w:val="18"/>
                <w:szCs w:val="18"/>
              </w:rPr>
              <w:t>Publish what you pay</w:t>
            </w:r>
          </w:p>
        </w:tc>
        <w:tc>
          <w:tcPr>
            <w:tcW w:w="2126" w:type="dxa"/>
            <w:tcBorders>
              <w:bottom w:val="single" w:sz="4" w:space="0" w:color="DBE5F1" w:themeColor="accent1" w:themeTint="33"/>
            </w:tcBorders>
            <w:vAlign w:val="top"/>
          </w:tcPr>
          <w:p w:rsidR="009C66DB" w:rsidRPr="00014105" w:rsidRDefault="009C66DB" w:rsidP="00A73CE0">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762006">
              <w:rPr>
                <w:rFonts w:cs="Calibri"/>
                <w:color w:val="000000"/>
                <w:sz w:val="18"/>
                <w:szCs w:val="18"/>
              </w:rPr>
              <w:t xml:space="preserve">Australian </w:t>
            </w:r>
            <w:proofErr w:type="spellStart"/>
            <w:r w:rsidRPr="00762006">
              <w:rPr>
                <w:rFonts w:cs="Calibri"/>
                <w:color w:val="000000"/>
                <w:sz w:val="18"/>
                <w:szCs w:val="18"/>
              </w:rPr>
              <w:t>Labor</w:t>
            </w:r>
            <w:proofErr w:type="spellEnd"/>
            <w:r w:rsidRPr="00762006">
              <w:rPr>
                <w:rFonts w:cs="Calibri"/>
                <w:color w:val="000000"/>
                <w:sz w:val="18"/>
                <w:szCs w:val="18"/>
              </w:rPr>
              <w:t xml:space="preserve"> Party</w:t>
            </w:r>
          </w:p>
        </w:tc>
        <w:tc>
          <w:tcPr>
            <w:tcW w:w="2552" w:type="dxa"/>
            <w:tcBorders>
              <w:bottom w:val="single" w:sz="4" w:space="0" w:color="DBE5F1" w:themeColor="accent1" w:themeTint="33"/>
            </w:tcBorders>
            <w:vAlign w:val="top"/>
          </w:tcPr>
          <w:p w:rsidR="009C66DB" w:rsidRPr="00014105" w:rsidRDefault="009C66DB" w:rsidP="00A73CE0">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Media article</w:t>
            </w:r>
          </w:p>
        </w:tc>
        <w:tc>
          <w:tcPr>
            <w:tcW w:w="1417" w:type="dxa"/>
            <w:tcBorders>
              <w:bottom w:val="single" w:sz="4" w:space="0" w:color="DBE5F1" w:themeColor="accent1" w:themeTint="33"/>
            </w:tcBorders>
            <w:vAlign w:val="top"/>
          </w:tcPr>
          <w:p w:rsidR="009C66DB" w:rsidRPr="00014105" w:rsidRDefault="009C66DB" w:rsidP="00A73CE0">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31/10/2017</w:t>
            </w:r>
          </w:p>
        </w:tc>
        <w:tc>
          <w:tcPr>
            <w:tcW w:w="992" w:type="dxa"/>
            <w:tcBorders>
              <w:bottom w:val="single" w:sz="4" w:space="0" w:color="DBE5F1" w:themeColor="accent1" w:themeTint="33"/>
            </w:tcBorders>
            <w:vAlign w:val="top"/>
          </w:tcPr>
          <w:p w:rsidR="009C66DB" w:rsidRDefault="009C66DB" w:rsidP="00A73CE0">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No</w:t>
            </w:r>
          </w:p>
        </w:tc>
        <w:tc>
          <w:tcPr>
            <w:tcW w:w="3834" w:type="dxa"/>
            <w:tcBorders>
              <w:bottom w:val="single" w:sz="4" w:space="0" w:color="DBE5F1" w:themeColor="accent1" w:themeTint="33"/>
            </w:tcBorders>
            <w:vAlign w:val="top"/>
          </w:tcPr>
          <w:p w:rsidR="009C66DB" w:rsidRDefault="009C66DB" w:rsidP="00A73CE0">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n/a</w:t>
            </w:r>
          </w:p>
        </w:tc>
      </w:tr>
      <w:tr w:rsidR="00CA1096" w:rsidRPr="00762006" w:rsidTr="006F6C2E">
        <w:trPr>
          <w:cnfStyle w:val="000000100000" w:firstRow="0" w:lastRow="0" w:firstColumn="0" w:lastColumn="0" w:oddVBand="0" w:evenVBand="0" w:oddHBand="1" w:evenHBand="0" w:firstRowFirstColumn="0" w:firstRowLastColumn="0" w:lastRowFirstColumn="0" w:lastRowLastColumn="0"/>
          <w:cantSplit/>
          <w:trHeight w:val="303"/>
        </w:trPr>
        <w:tc>
          <w:tcPr>
            <w:cnfStyle w:val="001000000000" w:firstRow="0" w:lastRow="0" w:firstColumn="1" w:lastColumn="0" w:oddVBand="0" w:evenVBand="0" w:oddHBand="0" w:evenHBand="0" w:firstRowFirstColumn="0" w:firstRowLastColumn="0" w:lastRowFirstColumn="0" w:lastRowLastColumn="0"/>
            <w:tcW w:w="3119" w:type="dxa"/>
            <w:vAlign w:val="top"/>
          </w:tcPr>
          <w:p w:rsidR="00CA1096" w:rsidRPr="00762006" w:rsidRDefault="00CA1096" w:rsidP="00A73CE0">
            <w:pPr>
              <w:spacing w:before="60" w:after="60"/>
              <w:rPr>
                <w:rFonts w:cs="Calibri"/>
                <w:color w:val="000000"/>
                <w:sz w:val="18"/>
                <w:szCs w:val="18"/>
              </w:rPr>
            </w:pPr>
            <w:r w:rsidRPr="00014105">
              <w:rPr>
                <w:rFonts w:cs="Calibri"/>
                <w:color w:val="000000"/>
                <w:sz w:val="18"/>
                <w:szCs w:val="18"/>
              </w:rPr>
              <w:t xml:space="preserve">Proposal to increase wages for Commonwealth Public Servants below the Executive Level (EL). </w:t>
            </w:r>
          </w:p>
        </w:tc>
        <w:tc>
          <w:tcPr>
            <w:tcW w:w="2126" w:type="dxa"/>
            <w:vAlign w:val="top"/>
          </w:tcPr>
          <w:p w:rsidR="00CA1096" w:rsidRPr="00762006" w:rsidRDefault="00CA1096" w:rsidP="00A73CE0">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014105">
              <w:rPr>
                <w:rFonts w:cs="Calibri"/>
                <w:color w:val="000000"/>
                <w:sz w:val="18"/>
                <w:szCs w:val="18"/>
              </w:rPr>
              <w:t>Australian Greens</w:t>
            </w:r>
          </w:p>
        </w:tc>
        <w:tc>
          <w:tcPr>
            <w:tcW w:w="2552" w:type="dxa"/>
            <w:vAlign w:val="top"/>
          </w:tcPr>
          <w:p w:rsidR="00CA1096" w:rsidRPr="00762006" w:rsidRDefault="00CA1096" w:rsidP="00A73CE0">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014105">
              <w:rPr>
                <w:rFonts w:cs="Calibri"/>
                <w:color w:val="000000"/>
                <w:sz w:val="18"/>
                <w:szCs w:val="18"/>
              </w:rPr>
              <w:t>Media article</w:t>
            </w:r>
          </w:p>
        </w:tc>
        <w:tc>
          <w:tcPr>
            <w:tcW w:w="1417" w:type="dxa"/>
            <w:vAlign w:val="top"/>
          </w:tcPr>
          <w:p w:rsidR="00CA1096" w:rsidRPr="00762006" w:rsidRDefault="00CA1096" w:rsidP="00A73CE0">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014105">
              <w:rPr>
                <w:rFonts w:cs="Calibri"/>
                <w:color w:val="000000"/>
                <w:sz w:val="18"/>
                <w:szCs w:val="18"/>
              </w:rPr>
              <w:t>14</w:t>
            </w:r>
            <w:r>
              <w:rPr>
                <w:rFonts w:cs="Calibri"/>
                <w:color w:val="000000"/>
                <w:sz w:val="18"/>
                <w:szCs w:val="18"/>
              </w:rPr>
              <w:t>/12/</w:t>
            </w:r>
            <w:r w:rsidRPr="00014105">
              <w:rPr>
                <w:rFonts w:cs="Calibri"/>
                <w:color w:val="000000"/>
                <w:sz w:val="18"/>
                <w:szCs w:val="18"/>
              </w:rPr>
              <w:t>2017</w:t>
            </w:r>
          </w:p>
        </w:tc>
        <w:tc>
          <w:tcPr>
            <w:tcW w:w="992" w:type="dxa"/>
            <w:vAlign w:val="top"/>
          </w:tcPr>
          <w:p w:rsidR="00CA1096" w:rsidRPr="00762006" w:rsidRDefault="00CA1096" w:rsidP="00A73CE0">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Yes</w:t>
            </w:r>
          </w:p>
        </w:tc>
        <w:tc>
          <w:tcPr>
            <w:tcW w:w="3834" w:type="dxa"/>
            <w:vAlign w:val="top"/>
          </w:tcPr>
          <w:p w:rsidR="00CA1096" w:rsidRPr="00762006" w:rsidRDefault="00CA1096" w:rsidP="00A44FAF">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14/</w:t>
            </w:r>
            <w:r w:rsidRPr="00014105">
              <w:rPr>
                <w:rFonts w:cs="Calibri"/>
                <w:color w:val="000000"/>
                <w:sz w:val="18"/>
                <w:szCs w:val="18"/>
              </w:rPr>
              <w:t>12</w:t>
            </w:r>
            <w:r>
              <w:rPr>
                <w:rFonts w:cs="Calibri"/>
                <w:color w:val="000000"/>
                <w:sz w:val="18"/>
                <w:szCs w:val="18"/>
              </w:rPr>
              <w:t>/</w:t>
            </w:r>
            <w:r w:rsidRPr="00014105">
              <w:rPr>
                <w:rFonts w:cs="Calibri"/>
                <w:color w:val="000000"/>
                <w:sz w:val="18"/>
                <w:szCs w:val="18"/>
              </w:rPr>
              <w:t>2017</w:t>
            </w:r>
            <w:r w:rsidR="00A44FAF">
              <w:rPr>
                <w:rFonts w:cs="Calibri"/>
                <w:color w:val="000000"/>
                <w:sz w:val="18"/>
                <w:szCs w:val="18"/>
              </w:rPr>
              <w:t xml:space="preserve"> - </w:t>
            </w:r>
            <w:r w:rsidRPr="00762006">
              <w:rPr>
                <w:rFonts w:cs="Calibri"/>
                <w:color w:val="000000"/>
                <w:sz w:val="18"/>
                <w:szCs w:val="18"/>
              </w:rPr>
              <w:t>Costing posted on PBO website</w:t>
            </w:r>
          </w:p>
        </w:tc>
      </w:tr>
      <w:tr w:rsidR="004772D9" w:rsidRPr="00762006" w:rsidTr="006F6C2E">
        <w:trPr>
          <w:cantSplit/>
          <w:trHeight w:val="303"/>
        </w:trPr>
        <w:tc>
          <w:tcPr>
            <w:cnfStyle w:val="001000000000" w:firstRow="0" w:lastRow="0" w:firstColumn="1" w:lastColumn="0" w:oddVBand="0" w:evenVBand="0" w:oddHBand="0" w:evenHBand="0" w:firstRowFirstColumn="0" w:firstRowLastColumn="0" w:lastRowFirstColumn="0" w:lastRowLastColumn="0"/>
            <w:tcW w:w="3119" w:type="dxa"/>
            <w:vAlign w:val="top"/>
          </w:tcPr>
          <w:p w:rsidR="004772D9" w:rsidRPr="00014105" w:rsidRDefault="000F73BD" w:rsidP="00A73CE0">
            <w:pPr>
              <w:spacing w:before="60" w:after="60"/>
              <w:rPr>
                <w:rFonts w:cs="Calibri"/>
                <w:color w:val="000000"/>
                <w:sz w:val="18"/>
                <w:szCs w:val="18"/>
              </w:rPr>
            </w:pPr>
            <w:r>
              <w:rPr>
                <w:rFonts w:cs="Calibri"/>
                <w:color w:val="000000"/>
                <w:sz w:val="18"/>
                <w:szCs w:val="18"/>
              </w:rPr>
              <w:t xml:space="preserve">Impact on Northern Territory schools of difference between Government and Australian </w:t>
            </w:r>
            <w:proofErr w:type="spellStart"/>
            <w:r>
              <w:rPr>
                <w:rFonts w:cs="Calibri"/>
                <w:color w:val="000000"/>
                <w:sz w:val="18"/>
                <w:szCs w:val="18"/>
              </w:rPr>
              <w:t>Labor</w:t>
            </w:r>
            <w:proofErr w:type="spellEnd"/>
            <w:r>
              <w:rPr>
                <w:rFonts w:cs="Calibri"/>
                <w:color w:val="000000"/>
                <w:sz w:val="18"/>
                <w:szCs w:val="18"/>
              </w:rPr>
              <w:t xml:space="preserve"> Party policy</w:t>
            </w:r>
          </w:p>
        </w:tc>
        <w:tc>
          <w:tcPr>
            <w:tcW w:w="2126" w:type="dxa"/>
            <w:vAlign w:val="top"/>
          </w:tcPr>
          <w:p w:rsidR="004772D9" w:rsidRPr="00014105" w:rsidRDefault="000F73BD" w:rsidP="00A73CE0">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 xml:space="preserve">Australian </w:t>
            </w:r>
            <w:proofErr w:type="spellStart"/>
            <w:r>
              <w:rPr>
                <w:rFonts w:cs="Calibri"/>
                <w:color w:val="000000"/>
                <w:sz w:val="18"/>
                <w:szCs w:val="18"/>
              </w:rPr>
              <w:t>Labor</w:t>
            </w:r>
            <w:proofErr w:type="spellEnd"/>
            <w:r>
              <w:rPr>
                <w:rFonts w:cs="Calibri"/>
                <w:color w:val="000000"/>
                <w:sz w:val="18"/>
                <w:szCs w:val="18"/>
              </w:rPr>
              <w:t xml:space="preserve"> Party</w:t>
            </w:r>
          </w:p>
        </w:tc>
        <w:tc>
          <w:tcPr>
            <w:tcW w:w="2552" w:type="dxa"/>
            <w:vAlign w:val="top"/>
          </w:tcPr>
          <w:p w:rsidR="004772D9" w:rsidRPr="00014105" w:rsidRDefault="000F73BD" w:rsidP="00A73CE0">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Media article</w:t>
            </w:r>
          </w:p>
        </w:tc>
        <w:tc>
          <w:tcPr>
            <w:tcW w:w="1417" w:type="dxa"/>
            <w:vAlign w:val="top"/>
          </w:tcPr>
          <w:p w:rsidR="004772D9" w:rsidRPr="00014105" w:rsidRDefault="000F73BD" w:rsidP="00A73CE0">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25/01/2018</w:t>
            </w:r>
          </w:p>
        </w:tc>
        <w:tc>
          <w:tcPr>
            <w:tcW w:w="992" w:type="dxa"/>
            <w:vAlign w:val="top"/>
          </w:tcPr>
          <w:p w:rsidR="004772D9" w:rsidRDefault="000F73BD" w:rsidP="00A73CE0">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No</w:t>
            </w:r>
          </w:p>
        </w:tc>
        <w:tc>
          <w:tcPr>
            <w:tcW w:w="3834" w:type="dxa"/>
            <w:vAlign w:val="top"/>
          </w:tcPr>
          <w:p w:rsidR="004772D9" w:rsidRDefault="000F73BD" w:rsidP="00A44FAF">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n/a</w:t>
            </w:r>
          </w:p>
        </w:tc>
      </w:tr>
      <w:tr w:rsidR="004772D9" w:rsidRPr="00762006" w:rsidTr="006F6C2E">
        <w:trPr>
          <w:cnfStyle w:val="000000100000" w:firstRow="0" w:lastRow="0" w:firstColumn="0" w:lastColumn="0" w:oddVBand="0" w:evenVBand="0" w:oddHBand="1" w:evenHBand="0" w:firstRowFirstColumn="0" w:firstRowLastColumn="0" w:lastRowFirstColumn="0" w:lastRowLastColumn="0"/>
          <w:cantSplit/>
          <w:trHeight w:val="303"/>
        </w:trPr>
        <w:tc>
          <w:tcPr>
            <w:cnfStyle w:val="001000000000" w:firstRow="0" w:lastRow="0" w:firstColumn="1" w:lastColumn="0" w:oddVBand="0" w:evenVBand="0" w:oddHBand="0" w:evenHBand="0" w:firstRowFirstColumn="0" w:firstRowLastColumn="0" w:lastRowFirstColumn="0" w:lastRowLastColumn="0"/>
            <w:tcW w:w="3119" w:type="dxa"/>
            <w:vAlign w:val="top"/>
          </w:tcPr>
          <w:p w:rsidR="004772D9" w:rsidRPr="00014105" w:rsidRDefault="000F73BD" w:rsidP="00A73CE0">
            <w:pPr>
              <w:spacing w:before="60" w:after="60"/>
              <w:rPr>
                <w:rFonts w:cs="Calibri"/>
                <w:color w:val="000000"/>
                <w:sz w:val="18"/>
                <w:szCs w:val="18"/>
              </w:rPr>
            </w:pPr>
            <w:r>
              <w:rPr>
                <w:rFonts w:cs="Calibri"/>
                <w:color w:val="000000"/>
                <w:sz w:val="18"/>
                <w:szCs w:val="18"/>
              </w:rPr>
              <w:t>National (Federal) Integrity Commission</w:t>
            </w:r>
          </w:p>
        </w:tc>
        <w:tc>
          <w:tcPr>
            <w:tcW w:w="2126" w:type="dxa"/>
            <w:vAlign w:val="top"/>
          </w:tcPr>
          <w:p w:rsidR="004772D9" w:rsidRPr="00014105" w:rsidRDefault="000F73BD" w:rsidP="00A73CE0">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 xml:space="preserve">Australian </w:t>
            </w:r>
            <w:proofErr w:type="spellStart"/>
            <w:r>
              <w:rPr>
                <w:rFonts w:cs="Calibri"/>
                <w:color w:val="000000"/>
                <w:sz w:val="18"/>
                <w:szCs w:val="18"/>
              </w:rPr>
              <w:t>Labor</w:t>
            </w:r>
            <w:proofErr w:type="spellEnd"/>
            <w:r>
              <w:rPr>
                <w:rFonts w:cs="Calibri"/>
                <w:color w:val="000000"/>
                <w:sz w:val="18"/>
                <w:szCs w:val="18"/>
              </w:rPr>
              <w:t xml:space="preserve"> Party</w:t>
            </w:r>
          </w:p>
        </w:tc>
        <w:tc>
          <w:tcPr>
            <w:tcW w:w="2552" w:type="dxa"/>
            <w:vAlign w:val="top"/>
          </w:tcPr>
          <w:p w:rsidR="004772D9" w:rsidRPr="00014105" w:rsidRDefault="000F73BD" w:rsidP="00A73CE0">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Media article</w:t>
            </w:r>
          </w:p>
        </w:tc>
        <w:tc>
          <w:tcPr>
            <w:tcW w:w="1417" w:type="dxa"/>
            <w:vAlign w:val="top"/>
          </w:tcPr>
          <w:p w:rsidR="004772D9" w:rsidRPr="00014105" w:rsidRDefault="000F73BD" w:rsidP="00A73CE0">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31/01/2018</w:t>
            </w:r>
          </w:p>
        </w:tc>
        <w:tc>
          <w:tcPr>
            <w:tcW w:w="992" w:type="dxa"/>
            <w:vAlign w:val="top"/>
          </w:tcPr>
          <w:p w:rsidR="004772D9" w:rsidRDefault="000F73BD" w:rsidP="00A73CE0">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No</w:t>
            </w:r>
          </w:p>
        </w:tc>
        <w:tc>
          <w:tcPr>
            <w:tcW w:w="3834" w:type="dxa"/>
            <w:vAlign w:val="top"/>
          </w:tcPr>
          <w:p w:rsidR="004772D9" w:rsidRDefault="000F73BD" w:rsidP="00A44FAF">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n/a</w:t>
            </w:r>
          </w:p>
        </w:tc>
      </w:tr>
      <w:tr w:rsidR="00D31C89" w:rsidRPr="00762006" w:rsidTr="006F6C2E">
        <w:trPr>
          <w:cantSplit/>
          <w:trHeight w:val="303"/>
        </w:trPr>
        <w:tc>
          <w:tcPr>
            <w:cnfStyle w:val="001000000000" w:firstRow="0" w:lastRow="0" w:firstColumn="1" w:lastColumn="0" w:oddVBand="0" w:evenVBand="0" w:oddHBand="0" w:evenHBand="0" w:firstRowFirstColumn="0" w:firstRowLastColumn="0" w:lastRowFirstColumn="0" w:lastRowLastColumn="0"/>
            <w:tcW w:w="3119" w:type="dxa"/>
            <w:vAlign w:val="top"/>
          </w:tcPr>
          <w:p w:rsidR="00D31C89" w:rsidRPr="00014105" w:rsidRDefault="00D31C89" w:rsidP="00A73CE0">
            <w:pPr>
              <w:spacing w:before="60" w:after="60"/>
              <w:rPr>
                <w:rFonts w:cs="Calibri"/>
                <w:color w:val="000000"/>
                <w:sz w:val="18"/>
                <w:szCs w:val="18"/>
              </w:rPr>
            </w:pPr>
            <w:r>
              <w:rPr>
                <w:rFonts w:cs="Calibri"/>
                <w:color w:val="000000"/>
                <w:sz w:val="18"/>
                <w:szCs w:val="18"/>
              </w:rPr>
              <w:t>Redress Scheme for Stolen Generation</w:t>
            </w:r>
          </w:p>
        </w:tc>
        <w:tc>
          <w:tcPr>
            <w:tcW w:w="2126" w:type="dxa"/>
            <w:vAlign w:val="top"/>
          </w:tcPr>
          <w:p w:rsidR="00D31C89" w:rsidRPr="00014105" w:rsidRDefault="00D31C89" w:rsidP="00A73CE0">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 xml:space="preserve">Australian </w:t>
            </w:r>
            <w:proofErr w:type="spellStart"/>
            <w:r>
              <w:rPr>
                <w:rFonts w:cs="Calibri"/>
                <w:color w:val="000000"/>
                <w:sz w:val="18"/>
                <w:szCs w:val="18"/>
              </w:rPr>
              <w:t>Labor</w:t>
            </w:r>
            <w:proofErr w:type="spellEnd"/>
            <w:r>
              <w:rPr>
                <w:rFonts w:cs="Calibri"/>
                <w:color w:val="000000"/>
                <w:sz w:val="18"/>
                <w:szCs w:val="18"/>
              </w:rPr>
              <w:t xml:space="preserve"> Party</w:t>
            </w:r>
          </w:p>
        </w:tc>
        <w:tc>
          <w:tcPr>
            <w:tcW w:w="2552" w:type="dxa"/>
            <w:vAlign w:val="top"/>
          </w:tcPr>
          <w:p w:rsidR="00D31C89" w:rsidRPr="00014105" w:rsidRDefault="00D31C89" w:rsidP="00A73CE0">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Media article</w:t>
            </w:r>
          </w:p>
        </w:tc>
        <w:tc>
          <w:tcPr>
            <w:tcW w:w="1417" w:type="dxa"/>
            <w:vAlign w:val="top"/>
          </w:tcPr>
          <w:p w:rsidR="00D31C89" w:rsidRPr="00014105" w:rsidRDefault="00D31C89" w:rsidP="00A73CE0">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31/01/2018</w:t>
            </w:r>
          </w:p>
        </w:tc>
        <w:tc>
          <w:tcPr>
            <w:tcW w:w="992" w:type="dxa"/>
            <w:vAlign w:val="top"/>
          </w:tcPr>
          <w:p w:rsidR="00D31C89" w:rsidRDefault="00D31C89" w:rsidP="00A73CE0">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No</w:t>
            </w:r>
          </w:p>
        </w:tc>
        <w:tc>
          <w:tcPr>
            <w:tcW w:w="3834" w:type="dxa"/>
            <w:vAlign w:val="top"/>
          </w:tcPr>
          <w:p w:rsidR="00D31C89" w:rsidRDefault="00D31C89" w:rsidP="00A44FAF">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n/a</w:t>
            </w:r>
          </w:p>
        </w:tc>
      </w:tr>
      <w:tr w:rsidR="000C7481" w:rsidRPr="00762006" w:rsidTr="006F6C2E">
        <w:trPr>
          <w:cnfStyle w:val="000000100000" w:firstRow="0" w:lastRow="0" w:firstColumn="0" w:lastColumn="0" w:oddVBand="0" w:evenVBand="0" w:oddHBand="1" w:evenHBand="0" w:firstRowFirstColumn="0" w:firstRowLastColumn="0" w:lastRowFirstColumn="0" w:lastRowLastColumn="0"/>
          <w:cantSplit/>
          <w:trHeight w:val="303"/>
        </w:trPr>
        <w:tc>
          <w:tcPr>
            <w:cnfStyle w:val="001000000000" w:firstRow="0" w:lastRow="0" w:firstColumn="1" w:lastColumn="0" w:oddVBand="0" w:evenVBand="0" w:oddHBand="0" w:evenHBand="0" w:firstRowFirstColumn="0" w:firstRowLastColumn="0" w:lastRowFirstColumn="0" w:lastRowLastColumn="0"/>
            <w:tcW w:w="3119" w:type="dxa"/>
            <w:vAlign w:val="top"/>
          </w:tcPr>
          <w:p w:rsidR="000C7481" w:rsidRDefault="000C7481" w:rsidP="00A73CE0">
            <w:pPr>
              <w:spacing w:before="60" w:after="60"/>
              <w:rPr>
                <w:rFonts w:cs="Calibri"/>
                <w:color w:val="000000"/>
                <w:sz w:val="18"/>
                <w:szCs w:val="18"/>
              </w:rPr>
            </w:pPr>
            <w:r>
              <w:rPr>
                <w:rFonts w:cs="Calibri"/>
                <w:color w:val="000000"/>
                <w:sz w:val="18"/>
                <w:szCs w:val="18"/>
              </w:rPr>
              <w:t>Investment allowance</w:t>
            </w:r>
          </w:p>
        </w:tc>
        <w:tc>
          <w:tcPr>
            <w:tcW w:w="2126" w:type="dxa"/>
            <w:vAlign w:val="top"/>
          </w:tcPr>
          <w:p w:rsidR="000C7481" w:rsidRDefault="000C7481" w:rsidP="00A73CE0">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 xml:space="preserve">Australian </w:t>
            </w:r>
            <w:proofErr w:type="spellStart"/>
            <w:r>
              <w:rPr>
                <w:rFonts w:cs="Calibri"/>
                <w:color w:val="000000"/>
                <w:sz w:val="18"/>
                <w:szCs w:val="18"/>
              </w:rPr>
              <w:t>Labor</w:t>
            </w:r>
            <w:proofErr w:type="spellEnd"/>
            <w:r>
              <w:rPr>
                <w:rFonts w:cs="Calibri"/>
                <w:color w:val="000000"/>
                <w:sz w:val="18"/>
                <w:szCs w:val="18"/>
              </w:rPr>
              <w:t xml:space="preserve"> Party</w:t>
            </w:r>
          </w:p>
        </w:tc>
        <w:tc>
          <w:tcPr>
            <w:tcW w:w="2552" w:type="dxa"/>
            <w:vAlign w:val="top"/>
          </w:tcPr>
          <w:p w:rsidR="000C7481" w:rsidRDefault="000C7481" w:rsidP="00A73CE0">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Media release</w:t>
            </w:r>
          </w:p>
        </w:tc>
        <w:tc>
          <w:tcPr>
            <w:tcW w:w="1417" w:type="dxa"/>
            <w:vAlign w:val="top"/>
          </w:tcPr>
          <w:p w:rsidR="000C7481" w:rsidRDefault="000C7481" w:rsidP="00A73CE0">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13/03/2018</w:t>
            </w:r>
          </w:p>
        </w:tc>
        <w:tc>
          <w:tcPr>
            <w:tcW w:w="992" w:type="dxa"/>
            <w:vAlign w:val="top"/>
          </w:tcPr>
          <w:p w:rsidR="000C7481" w:rsidRDefault="000C7481" w:rsidP="00A73CE0">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No</w:t>
            </w:r>
          </w:p>
        </w:tc>
        <w:tc>
          <w:tcPr>
            <w:tcW w:w="3834" w:type="dxa"/>
            <w:vAlign w:val="top"/>
          </w:tcPr>
          <w:p w:rsidR="000C7481" w:rsidRDefault="000C7481" w:rsidP="00A44FAF">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n/a</w:t>
            </w:r>
          </w:p>
        </w:tc>
      </w:tr>
      <w:tr w:rsidR="000C7481" w:rsidRPr="00762006" w:rsidTr="006F6C2E">
        <w:trPr>
          <w:cantSplit/>
          <w:trHeight w:val="303"/>
        </w:trPr>
        <w:tc>
          <w:tcPr>
            <w:cnfStyle w:val="001000000000" w:firstRow="0" w:lastRow="0" w:firstColumn="1" w:lastColumn="0" w:oddVBand="0" w:evenVBand="0" w:oddHBand="0" w:evenHBand="0" w:firstRowFirstColumn="0" w:firstRowLastColumn="0" w:lastRowFirstColumn="0" w:lastRowLastColumn="0"/>
            <w:tcW w:w="3119" w:type="dxa"/>
            <w:vAlign w:val="top"/>
          </w:tcPr>
          <w:p w:rsidR="000C7481" w:rsidRPr="00014105" w:rsidRDefault="007F4770" w:rsidP="007F4770">
            <w:pPr>
              <w:spacing w:before="60" w:after="60"/>
              <w:rPr>
                <w:rFonts w:cs="Calibri"/>
                <w:color w:val="000000"/>
                <w:sz w:val="18"/>
                <w:szCs w:val="18"/>
              </w:rPr>
            </w:pPr>
            <w:r>
              <w:rPr>
                <w:rFonts w:cs="Calibri"/>
                <w:color w:val="000000"/>
                <w:sz w:val="18"/>
                <w:szCs w:val="18"/>
              </w:rPr>
              <w:t>A Fairer Tax System: Dividend Imputation Reform</w:t>
            </w:r>
          </w:p>
        </w:tc>
        <w:tc>
          <w:tcPr>
            <w:tcW w:w="2126" w:type="dxa"/>
            <w:vAlign w:val="top"/>
          </w:tcPr>
          <w:p w:rsidR="000C7481" w:rsidRPr="00014105" w:rsidRDefault="000C7481" w:rsidP="00A73CE0">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 xml:space="preserve">Australian </w:t>
            </w:r>
            <w:proofErr w:type="spellStart"/>
            <w:r>
              <w:rPr>
                <w:rFonts w:cs="Calibri"/>
                <w:color w:val="000000"/>
                <w:sz w:val="18"/>
                <w:szCs w:val="18"/>
              </w:rPr>
              <w:t>Labor</w:t>
            </w:r>
            <w:proofErr w:type="spellEnd"/>
            <w:r>
              <w:rPr>
                <w:rFonts w:cs="Calibri"/>
                <w:color w:val="000000"/>
                <w:sz w:val="18"/>
                <w:szCs w:val="18"/>
              </w:rPr>
              <w:t xml:space="preserve"> Party</w:t>
            </w:r>
          </w:p>
        </w:tc>
        <w:tc>
          <w:tcPr>
            <w:tcW w:w="2552" w:type="dxa"/>
            <w:vAlign w:val="top"/>
          </w:tcPr>
          <w:p w:rsidR="000C7481" w:rsidRPr="00014105" w:rsidRDefault="000C7481" w:rsidP="00A73CE0">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Media release</w:t>
            </w:r>
          </w:p>
        </w:tc>
        <w:tc>
          <w:tcPr>
            <w:tcW w:w="1417" w:type="dxa"/>
            <w:vAlign w:val="top"/>
          </w:tcPr>
          <w:p w:rsidR="000C7481" w:rsidRPr="00014105" w:rsidRDefault="000C7481" w:rsidP="00A73CE0">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13/03/2018</w:t>
            </w:r>
          </w:p>
        </w:tc>
        <w:tc>
          <w:tcPr>
            <w:tcW w:w="992" w:type="dxa"/>
            <w:vAlign w:val="top"/>
          </w:tcPr>
          <w:p w:rsidR="000C7481" w:rsidRDefault="000C7481" w:rsidP="00A73CE0">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No</w:t>
            </w:r>
          </w:p>
        </w:tc>
        <w:tc>
          <w:tcPr>
            <w:tcW w:w="3834" w:type="dxa"/>
            <w:vAlign w:val="top"/>
          </w:tcPr>
          <w:p w:rsidR="000C7481" w:rsidRDefault="000C7481" w:rsidP="00A44FAF">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n/a</w:t>
            </w:r>
          </w:p>
        </w:tc>
      </w:tr>
      <w:tr w:rsidR="000C7481" w:rsidRPr="00762006" w:rsidTr="006F6C2E">
        <w:trPr>
          <w:cnfStyle w:val="000000100000" w:firstRow="0" w:lastRow="0" w:firstColumn="0" w:lastColumn="0" w:oddVBand="0" w:evenVBand="0" w:oddHBand="1" w:evenHBand="0" w:firstRowFirstColumn="0" w:firstRowLastColumn="0" w:lastRowFirstColumn="0" w:lastRowLastColumn="0"/>
          <w:cantSplit/>
          <w:trHeight w:val="303"/>
        </w:trPr>
        <w:tc>
          <w:tcPr>
            <w:cnfStyle w:val="001000000000" w:firstRow="0" w:lastRow="0" w:firstColumn="1" w:lastColumn="0" w:oddVBand="0" w:evenVBand="0" w:oddHBand="0" w:evenHBand="0" w:firstRowFirstColumn="0" w:firstRowLastColumn="0" w:lastRowFirstColumn="0" w:lastRowLastColumn="0"/>
            <w:tcW w:w="3119" w:type="dxa"/>
            <w:vAlign w:val="top"/>
          </w:tcPr>
          <w:p w:rsidR="000C7481" w:rsidRPr="00014105" w:rsidRDefault="007F4770" w:rsidP="007F4770">
            <w:pPr>
              <w:spacing w:before="60" w:after="60"/>
              <w:rPr>
                <w:rFonts w:cs="Calibri"/>
                <w:color w:val="000000"/>
                <w:sz w:val="18"/>
                <w:szCs w:val="18"/>
              </w:rPr>
            </w:pPr>
            <w:r>
              <w:rPr>
                <w:rFonts w:cs="Calibri"/>
                <w:color w:val="000000"/>
                <w:sz w:val="18"/>
                <w:szCs w:val="18"/>
              </w:rPr>
              <w:t>Pensioner Guarantee – protecting pensioners from changes to excess dividend imputation credits</w:t>
            </w:r>
          </w:p>
        </w:tc>
        <w:tc>
          <w:tcPr>
            <w:tcW w:w="2126" w:type="dxa"/>
            <w:vAlign w:val="top"/>
          </w:tcPr>
          <w:p w:rsidR="000C7481" w:rsidRPr="00014105" w:rsidRDefault="000C7481" w:rsidP="00A73CE0">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 xml:space="preserve">Australian </w:t>
            </w:r>
            <w:proofErr w:type="spellStart"/>
            <w:r>
              <w:rPr>
                <w:rFonts w:cs="Calibri"/>
                <w:color w:val="000000"/>
                <w:sz w:val="18"/>
                <w:szCs w:val="18"/>
              </w:rPr>
              <w:t>Labor</w:t>
            </w:r>
            <w:proofErr w:type="spellEnd"/>
            <w:r>
              <w:rPr>
                <w:rFonts w:cs="Calibri"/>
                <w:color w:val="000000"/>
                <w:sz w:val="18"/>
                <w:szCs w:val="18"/>
              </w:rPr>
              <w:t xml:space="preserve"> Party</w:t>
            </w:r>
          </w:p>
        </w:tc>
        <w:tc>
          <w:tcPr>
            <w:tcW w:w="2552" w:type="dxa"/>
            <w:vAlign w:val="top"/>
          </w:tcPr>
          <w:p w:rsidR="000C7481" w:rsidRPr="00014105" w:rsidRDefault="000C7481" w:rsidP="00A73CE0">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Media release</w:t>
            </w:r>
          </w:p>
        </w:tc>
        <w:tc>
          <w:tcPr>
            <w:tcW w:w="1417" w:type="dxa"/>
            <w:vAlign w:val="top"/>
          </w:tcPr>
          <w:p w:rsidR="000C7481" w:rsidRPr="00014105" w:rsidRDefault="000C7481" w:rsidP="00A73CE0">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27/03/2018</w:t>
            </w:r>
          </w:p>
        </w:tc>
        <w:tc>
          <w:tcPr>
            <w:tcW w:w="992" w:type="dxa"/>
            <w:vAlign w:val="top"/>
          </w:tcPr>
          <w:p w:rsidR="000C7481" w:rsidRDefault="000C7481" w:rsidP="00A73CE0">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No</w:t>
            </w:r>
          </w:p>
        </w:tc>
        <w:tc>
          <w:tcPr>
            <w:tcW w:w="3834" w:type="dxa"/>
            <w:vAlign w:val="top"/>
          </w:tcPr>
          <w:p w:rsidR="000C7481" w:rsidRDefault="000C7481" w:rsidP="00A44FAF">
            <w:pPr>
              <w:spacing w:before="60" w:after="60"/>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n/a</w:t>
            </w:r>
          </w:p>
        </w:tc>
      </w:tr>
    </w:tbl>
    <w:p w:rsidR="00C30B07" w:rsidRDefault="00C30B07" w:rsidP="006640E0">
      <w:pPr>
        <w:sectPr w:rsidR="00C30B07" w:rsidSect="006640E0">
          <w:pgSz w:w="16838" w:h="11906" w:orient="landscape"/>
          <w:pgMar w:top="1440" w:right="1440" w:bottom="1440" w:left="1440" w:header="709" w:footer="709" w:gutter="0"/>
          <w:cols w:space="708"/>
          <w:docGrid w:linePitch="360"/>
        </w:sectPr>
      </w:pPr>
    </w:p>
    <w:p w:rsidR="00C30B07" w:rsidRPr="00C30B07" w:rsidRDefault="00C30B07" w:rsidP="00C30B07">
      <w:pPr>
        <w:spacing w:before="1080" w:after="1200"/>
        <w:ind w:left="567" w:hanging="567"/>
        <w:rPr>
          <w:rFonts w:ascii="Georgia" w:eastAsia="Cambria" w:hAnsi="Georgia"/>
          <w:color w:val="264A76"/>
          <w:sz w:val="50"/>
          <w:szCs w:val="20"/>
          <w:lang w:eastAsia="en-AU"/>
        </w:rPr>
      </w:pPr>
      <w:r w:rsidRPr="00C30B07">
        <w:rPr>
          <w:rFonts w:ascii="Georgia" w:eastAsia="Cambria" w:hAnsi="Georgia"/>
          <w:noProof/>
          <w:color w:val="264A76"/>
          <w:sz w:val="50"/>
          <w:szCs w:val="20"/>
          <w:lang w:eastAsia="en-AU"/>
        </w:rPr>
        <w:lastRenderedPageBreak/>
        <w:drawing>
          <wp:inline distT="0" distB="0" distL="0" distR="0" wp14:anchorId="1A09A5B1" wp14:editId="7F263C02">
            <wp:extent cx="287655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550" cy="609600"/>
                    </a:xfrm>
                    <a:prstGeom prst="rect">
                      <a:avLst/>
                    </a:prstGeom>
                    <a:noFill/>
                    <a:ln>
                      <a:noFill/>
                    </a:ln>
                  </pic:spPr>
                </pic:pic>
              </a:graphicData>
            </a:graphic>
          </wp:inline>
        </w:drawing>
      </w:r>
    </w:p>
    <w:p w:rsidR="00C30B07" w:rsidRPr="00C30B07" w:rsidRDefault="00C30B07" w:rsidP="00C30B07">
      <w:pPr>
        <w:spacing w:before="4300" w:after="60"/>
        <w:rPr>
          <w:rFonts w:ascii="Georgia" w:eastAsia="Cambria" w:hAnsi="Georgia"/>
          <w:color w:val="264A76"/>
          <w:sz w:val="50"/>
          <w:szCs w:val="20"/>
          <w:lang w:eastAsia="en-AU"/>
        </w:rPr>
      </w:pPr>
      <w:r w:rsidRPr="00C30B07">
        <w:rPr>
          <w:rFonts w:ascii="Georgia" w:eastAsia="Cambria" w:hAnsi="Georgia"/>
          <w:color w:val="264A76"/>
          <w:sz w:val="50"/>
          <w:szCs w:val="20"/>
          <w:lang w:eastAsia="en-AU"/>
        </w:rPr>
        <w:t>2018 Stakeholde</w:t>
      </w:r>
      <w:bookmarkStart w:id="0" w:name="_GoBack"/>
      <w:bookmarkEnd w:id="0"/>
      <w:r w:rsidRPr="00C30B07">
        <w:rPr>
          <w:rFonts w:ascii="Georgia" w:eastAsia="Cambria" w:hAnsi="Georgia"/>
          <w:color w:val="264A76"/>
          <w:sz w:val="50"/>
          <w:szCs w:val="20"/>
          <w:lang w:eastAsia="en-AU"/>
        </w:rPr>
        <w:t>r Survey</w:t>
      </w:r>
    </w:p>
    <w:p w:rsidR="00C30B07" w:rsidRPr="00C30B07" w:rsidRDefault="00C30B07" w:rsidP="00C30B07">
      <w:pPr>
        <w:spacing w:before="480" w:after="0"/>
        <w:rPr>
          <w:rFonts w:ascii="Georgia" w:eastAsia="Cambria" w:hAnsi="Georgia"/>
          <w:color w:val="264A76"/>
          <w:sz w:val="36"/>
          <w:szCs w:val="20"/>
          <w:lang w:eastAsia="en-AU"/>
        </w:rPr>
      </w:pPr>
      <w:r w:rsidRPr="00C30B07">
        <w:rPr>
          <w:rFonts w:ascii="Georgia" w:eastAsia="Cambria" w:hAnsi="Georgia"/>
          <w:color w:val="264A76"/>
          <w:sz w:val="36"/>
          <w:szCs w:val="20"/>
          <w:lang w:eastAsia="en-AU"/>
        </w:rPr>
        <w:t>Summary report</w:t>
      </w:r>
    </w:p>
    <w:p w:rsidR="00C30B07" w:rsidRPr="00C30B07" w:rsidRDefault="00C30B07" w:rsidP="00C30B07">
      <w:pPr>
        <w:spacing w:before="5520" w:after="113"/>
        <w:rPr>
          <w:rFonts w:eastAsia="Cambria"/>
          <w:b/>
          <w:sz w:val="20"/>
          <w:szCs w:val="20"/>
          <w:lang w:eastAsia="en-AU"/>
        </w:rPr>
      </w:pPr>
    </w:p>
    <w:p w:rsidR="00C30B07" w:rsidRPr="00C30B07" w:rsidRDefault="00C30B07" w:rsidP="00C30B07">
      <w:pPr>
        <w:spacing w:before="120" w:after="113"/>
        <w:rPr>
          <w:rFonts w:eastAsia="Calibri"/>
          <w:b/>
          <w:szCs w:val="22"/>
        </w:rPr>
        <w:sectPr w:rsidR="00C30B07" w:rsidRPr="00C30B07" w:rsidSect="00C30B07">
          <w:headerReference w:type="default" r:id="rId16"/>
          <w:footerReference w:type="default" r:id="rId17"/>
          <w:type w:val="oddPage"/>
          <w:pgSz w:w="11906" w:h="16838" w:code="9"/>
          <w:pgMar w:top="1440" w:right="1440" w:bottom="1440" w:left="1440" w:header="709" w:footer="709" w:gutter="0"/>
          <w:cols w:space="708"/>
          <w:docGrid w:linePitch="360"/>
        </w:sectPr>
      </w:pPr>
      <w:r w:rsidRPr="00C30B07">
        <w:rPr>
          <w:rFonts w:eastAsia="Cambria"/>
          <w:b/>
          <w:sz w:val="20"/>
          <w:szCs w:val="20"/>
          <w:lang w:eastAsia="en-AU"/>
        </w:rPr>
        <w:t xml:space="preserve">Issued: </w:t>
      </w:r>
      <w:r w:rsidRPr="00C30B07">
        <w:rPr>
          <w:rFonts w:eastAsia="Calibri"/>
          <w:b/>
          <w:szCs w:val="22"/>
        </w:rPr>
        <w:t>May 2018</w:t>
      </w:r>
    </w:p>
    <w:p w:rsidR="00C30B07" w:rsidRPr="00C30B07" w:rsidRDefault="00C30B07" w:rsidP="00C30B07">
      <w:pPr>
        <w:keepNext/>
        <w:keepLines/>
        <w:numPr>
          <w:ilvl w:val="1"/>
          <w:numId w:val="0"/>
        </w:numPr>
        <w:tabs>
          <w:tab w:val="num" w:pos="0"/>
          <w:tab w:val="left" w:pos="1418"/>
          <w:tab w:val="left" w:pos="1701"/>
          <w:tab w:val="left" w:pos="1985"/>
        </w:tabs>
        <w:spacing w:before="320" w:after="170"/>
        <w:outlineLvl w:val="1"/>
        <w:rPr>
          <w:rFonts w:ascii="Georgia" w:eastAsia="Calibri" w:hAnsi="Georgia"/>
          <w:bCs/>
          <w:iCs/>
          <w:color w:val="264A76"/>
          <w:kern w:val="20"/>
          <w:sz w:val="30"/>
          <w:szCs w:val="28"/>
        </w:rPr>
      </w:pPr>
      <w:bookmarkStart w:id="1" w:name="_Toc509920471"/>
      <w:r w:rsidRPr="00C30B07">
        <w:rPr>
          <w:rFonts w:ascii="Georgia" w:eastAsia="Calibri" w:hAnsi="Georgia"/>
          <w:bCs/>
          <w:iCs/>
          <w:color w:val="264A76"/>
          <w:kern w:val="20"/>
          <w:sz w:val="30"/>
          <w:szCs w:val="28"/>
        </w:rPr>
        <w:lastRenderedPageBreak/>
        <w:t>Introduction</w:t>
      </w:r>
      <w:bookmarkEnd w:id="1"/>
    </w:p>
    <w:p w:rsidR="00C30B07" w:rsidRPr="00C30B07" w:rsidRDefault="00C30B07" w:rsidP="00C30B07">
      <w:pPr>
        <w:spacing w:before="120" w:after="114"/>
        <w:rPr>
          <w:rFonts w:eastAsia="Calibri"/>
          <w:spacing w:val="-1"/>
          <w:szCs w:val="22"/>
        </w:rPr>
      </w:pPr>
      <w:r w:rsidRPr="00C30B07">
        <w:rPr>
          <w:rFonts w:eastAsia="Calibri"/>
          <w:spacing w:val="-1"/>
          <w:szCs w:val="22"/>
        </w:rPr>
        <w:t>In February 2018, the Parliamentary Budget Office (PBO) conducted its latest stakeholder survey.  The survey invited feedback from Parliamentarians and other stakeholders, including economic policy analysts, representatives of peak bodies and media.  The survey was based on the PBO’s 2015 stakeholder survey to enable comparisons to be made over time.</w:t>
      </w:r>
    </w:p>
    <w:p w:rsidR="00C30B07" w:rsidRPr="00C30B07" w:rsidRDefault="00C30B07" w:rsidP="00C30B07">
      <w:pPr>
        <w:spacing w:before="120" w:after="114"/>
        <w:rPr>
          <w:rFonts w:eastAsia="Calibri"/>
          <w:spacing w:val="-1"/>
          <w:szCs w:val="22"/>
        </w:rPr>
      </w:pPr>
      <w:r w:rsidRPr="00C30B07">
        <w:rPr>
          <w:rFonts w:eastAsia="Calibri"/>
          <w:spacing w:val="-1"/>
          <w:szCs w:val="22"/>
        </w:rPr>
        <w:t>The survey received 34 responses (2015: 63) between 12 February and 5 March 2018.  Responses were received from the offices of 4% of parliamentarians (2015: 20%).  20% of the other stakeholders invited to participate in the survey also provided a response (2015: 33%).</w:t>
      </w:r>
    </w:p>
    <w:p w:rsidR="00C30B07" w:rsidRPr="00C30B07" w:rsidRDefault="00C30B07" w:rsidP="00C30B07">
      <w:pPr>
        <w:spacing w:before="120" w:after="114"/>
        <w:rPr>
          <w:rFonts w:eastAsia="Calibri"/>
          <w:spacing w:val="-1"/>
          <w:szCs w:val="22"/>
        </w:rPr>
      </w:pPr>
      <w:r w:rsidRPr="00C30B07">
        <w:rPr>
          <w:rFonts w:eastAsia="Calibri"/>
          <w:spacing w:val="-1"/>
          <w:szCs w:val="22"/>
        </w:rPr>
        <w:t>Survey responses indicated that the PBO’s performance across a range of metrics has improved since the previous survey in 2015.  We have implemented a range of initiatives to improve transparency around internal processes and procedures; increase external engagement and consultation; enhance evaluation and feedback mechanisms; and increase the focus of the research and publication program on medium-term fiscal sustainability issues.  Many of these initiatives have been implemented over the past 12 months following the 2016–17 independent review of the PBO.</w:t>
      </w:r>
    </w:p>
    <w:p w:rsidR="00C30B07" w:rsidRPr="00C30B07" w:rsidRDefault="00C30B07" w:rsidP="00C30B07">
      <w:pPr>
        <w:spacing w:before="120" w:after="114"/>
        <w:rPr>
          <w:rFonts w:eastAsia="Calibri"/>
          <w:spacing w:val="-1"/>
          <w:szCs w:val="22"/>
        </w:rPr>
      </w:pPr>
      <w:r w:rsidRPr="00C30B07">
        <w:rPr>
          <w:rFonts w:eastAsia="Calibri"/>
          <w:spacing w:val="-1"/>
          <w:szCs w:val="22"/>
        </w:rPr>
        <w:t>There are some further opportunities to improve the accessibility of information on, and structure of, the PBO website.  A project is currently underway to improve the structure, content and accessibility of the PBO’s website.</w:t>
      </w:r>
    </w:p>
    <w:p w:rsidR="00C30B07" w:rsidRPr="00C30B07" w:rsidRDefault="00C30B07" w:rsidP="00C30B07">
      <w:pPr>
        <w:spacing w:before="120" w:after="114"/>
        <w:rPr>
          <w:rFonts w:eastAsia="Calibri"/>
          <w:spacing w:val="-1"/>
          <w:szCs w:val="22"/>
        </w:rPr>
      </w:pPr>
      <w:r w:rsidRPr="00C30B07">
        <w:rPr>
          <w:rFonts w:eastAsia="Calibri"/>
          <w:spacing w:val="-1"/>
          <w:szCs w:val="22"/>
        </w:rPr>
        <w:t>While the sentiments and ratings expressed in the survey responses suggest satisfaction with the PBO has improved, we acknowledge that a relatively small number of responses were received.  We are investigating a range of mechanisms to gather feedback through other channels.</w:t>
      </w:r>
    </w:p>
    <w:p w:rsidR="00C30B07" w:rsidRPr="00C30B07" w:rsidRDefault="00C30B07" w:rsidP="00C30B07">
      <w:pPr>
        <w:keepNext/>
        <w:keepLines/>
        <w:numPr>
          <w:ilvl w:val="1"/>
          <w:numId w:val="0"/>
        </w:numPr>
        <w:tabs>
          <w:tab w:val="num" w:pos="0"/>
          <w:tab w:val="left" w:pos="1418"/>
          <w:tab w:val="left" w:pos="1701"/>
          <w:tab w:val="left" w:pos="1985"/>
        </w:tabs>
        <w:spacing w:before="320" w:after="170"/>
        <w:outlineLvl w:val="1"/>
        <w:rPr>
          <w:rFonts w:ascii="Georgia" w:eastAsia="Calibri" w:hAnsi="Georgia"/>
          <w:bCs/>
          <w:iCs/>
          <w:color w:val="264A76"/>
          <w:kern w:val="20"/>
          <w:sz w:val="30"/>
          <w:szCs w:val="28"/>
        </w:rPr>
      </w:pPr>
      <w:bookmarkStart w:id="2" w:name="_Toc509920472"/>
      <w:r w:rsidRPr="00C30B07">
        <w:rPr>
          <w:rFonts w:ascii="Georgia" w:eastAsia="Calibri" w:hAnsi="Georgia"/>
          <w:bCs/>
          <w:iCs/>
          <w:color w:val="264A76"/>
          <w:kern w:val="20"/>
          <w:sz w:val="30"/>
          <w:szCs w:val="28"/>
        </w:rPr>
        <w:t>Overall impressions of the PBO</w:t>
      </w:r>
      <w:bookmarkEnd w:id="2"/>
    </w:p>
    <w:p w:rsidR="00C30B07" w:rsidRPr="00C30B07" w:rsidRDefault="00C30B07" w:rsidP="00C30B07">
      <w:pPr>
        <w:spacing w:before="120" w:after="114"/>
        <w:rPr>
          <w:rFonts w:eastAsia="Calibri"/>
          <w:spacing w:val="-1"/>
          <w:szCs w:val="22"/>
        </w:rPr>
      </w:pPr>
      <w:bookmarkStart w:id="3" w:name="Here"/>
      <w:bookmarkEnd w:id="3"/>
      <w:r w:rsidRPr="00C30B07">
        <w:rPr>
          <w:rFonts w:eastAsia="Calibri"/>
          <w:spacing w:val="-1"/>
          <w:szCs w:val="22"/>
        </w:rPr>
        <w:t>Overall, there continues to be very high levels of satisfaction with the work and role of the PBO.  98% of respondents indicated they were either satisfied or very satisfied (2015: 86%).</w:t>
      </w:r>
    </w:p>
    <w:p w:rsidR="00C30B07" w:rsidRPr="00C30B07" w:rsidRDefault="00C30B07" w:rsidP="00C30B07">
      <w:pPr>
        <w:spacing w:before="120" w:after="114"/>
        <w:rPr>
          <w:rFonts w:eastAsia="Calibri"/>
          <w:spacing w:val="-1"/>
          <w:szCs w:val="22"/>
        </w:rPr>
      </w:pPr>
      <w:r w:rsidRPr="00C30B07">
        <w:rPr>
          <w:rFonts w:eastAsia="Calibri"/>
          <w:spacing w:val="-1"/>
          <w:szCs w:val="22"/>
        </w:rPr>
        <w:t xml:space="preserve">The vast majority of respondents on average (98%) held the view that: the PBO is </w:t>
      </w:r>
      <w:r w:rsidRPr="00C30B07">
        <w:rPr>
          <w:rFonts w:eastAsia="Calibri"/>
          <w:b/>
          <w:spacing w:val="-1"/>
          <w:szCs w:val="22"/>
        </w:rPr>
        <w:t>independent and non-partisan</w:t>
      </w:r>
      <w:r w:rsidRPr="00C30B07">
        <w:rPr>
          <w:rFonts w:eastAsia="Calibri"/>
          <w:spacing w:val="-1"/>
          <w:szCs w:val="22"/>
        </w:rPr>
        <w:t xml:space="preserve">; they have </w:t>
      </w:r>
      <w:r w:rsidRPr="00C30B07">
        <w:rPr>
          <w:rFonts w:eastAsia="Calibri"/>
          <w:b/>
          <w:spacing w:val="-1"/>
          <w:szCs w:val="22"/>
        </w:rPr>
        <w:t>confidence in the integrity</w:t>
      </w:r>
      <w:r w:rsidRPr="00C30B07">
        <w:rPr>
          <w:rFonts w:eastAsia="Calibri"/>
          <w:spacing w:val="-1"/>
          <w:szCs w:val="22"/>
        </w:rPr>
        <w:t xml:space="preserve"> of the PBO; the PBO helps </w:t>
      </w:r>
      <w:r w:rsidRPr="00C30B07">
        <w:rPr>
          <w:rFonts w:eastAsia="Calibri"/>
          <w:b/>
          <w:spacing w:val="-1"/>
          <w:szCs w:val="22"/>
        </w:rPr>
        <w:t>improve transparency</w:t>
      </w:r>
      <w:r w:rsidRPr="00C30B07">
        <w:rPr>
          <w:rFonts w:eastAsia="Calibri"/>
          <w:spacing w:val="-1"/>
          <w:szCs w:val="22"/>
        </w:rPr>
        <w:t xml:space="preserve"> of the budget and fiscal policy settings; and that the PBO provides a </w:t>
      </w:r>
      <w:r w:rsidRPr="00C30B07">
        <w:rPr>
          <w:rFonts w:eastAsia="Calibri"/>
          <w:b/>
          <w:spacing w:val="-1"/>
          <w:szCs w:val="22"/>
        </w:rPr>
        <w:t>level playing field</w:t>
      </w:r>
      <w:r w:rsidRPr="00C30B07">
        <w:rPr>
          <w:rFonts w:eastAsia="Calibri"/>
          <w:spacing w:val="-1"/>
          <w:szCs w:val="22"/>
        </w:rPr>
        <w:t xml:space="preserve"> for all parliamentarians (2015: 90%).  There was a strong increase in the view that the PBO’s work is of </w:t>
      </w:r>
      <w:r w:rsidRPr="00C30B07">
        <w:rPr>
          <w:rFonts w:eastAsia="Calibri"/>
          <w:b/>
          <w:spacing w:val="-1"/>
          <w:szCs w:val="22"/>
        </w:rPr>
        <w:t>high quality</w:t>
      </w:r>
      <w:r w:rsidRPr="00C30B07">
        <w:rPr>
          <w:rFonts w:eastAsia="Calibri"/>
          <w:spacing w:val="-1"/>
          <w:szCs w:val="22"/>
        </w:rPr>
        <w:t xml:space="preserve"> (2018: 96%; 2015: 74%) and the PBO is </w:t>
      </w:r>
      <w:r w:rsidRPr="00C30B07">
        <w:rPr>
          <w:rFonts w:eastAsia="Calibri"/>
          <w:b/>
          <w:spacing w:val="-1"/>
          <w:szCs w:val="22"/>
        </w:rPr>
        <w:t>transparent in its processes</w:t>
      </w:r>
      <w:r w:rsidRPr="00C30B07">
        <w:rPr>
          <w:rFonts w:eastAsia="Calibri"/>
          <w:spacing w:val="-1"/>
          <w:szCs w:val="22"/>
        </w:rPr>
        <w:t xml:space="preserve"> (2018: 92%; 2015: 76%). </w:t>
      </w:r>
    </w:p>
    <w:p w:rsidR="00C30B07" w:rsidRPr="00C30B07" w:rsidRDefault="00C30B07" w:rsidP="00C30B07">
      <w:pPr>
        <w:spacing w:before="120" w:after="114"/>
        <w:rPr>
          <w:rFonts w:eastAsia="Calibri"/>
          <w:spacing w:val="-1"/>
          <w:szCs w:val="22"/>
        </w:rPr>
      </w:pPr>
      <w:r w:rsidRPr="00C30B07">
        <w:rPr>
          <w:rFonts w:eastAsia="Calibri"/>
          <w:spacing w:val="-1"/>
          <w:szCs w:val="22"/>
        </w:rPr>
        <w:t>Figure 1 illustrates the level of overall satisfaction with the PBO, including the specific metrics that constitute the overall impressions and customer service metrics.</w:t>
      </w:r>
    </w:p>
    <w:p w:rsidR="00C30B07" w:rsidRPr="00C30B07" w:rsidRDefault="00C30B07" w:rsidP="00C30B07">
      <w:pPr>
        <w:spacing w:before="120" w:after="114"/>
        <w:rPr>
          <w:rFonts w:eastAsia="Calibri"/>
          <w:spacing w:val="-1"/>
          <w:szCs w:val="22"/>
        </w:rPr>
      </w:pPr>
      <w:r w:rsidRPr="00C30B07">
        <w:rPr>
          <w:rFonts w:eastAsia="Calibri"/>
          <w:spacing w:val="-1"/>
          <w:szCs w:val="22"/>
        </w:rPr>
        <w:t>Respondents were invited to provide comments on their experiences with the PBO, including suggestions for improvement.  Where these are specific to publications or policy costings, they are mentioned later in this report.  Other overall comments included:</w:t>
      </w:r>
    </w:p>
    <w:tbl>
      <w:tblPr>
        <w:tblStyle w:val="PullOutBoxTable"/>
        <w:tblW w:w="0" w:type="auto"/>
        <w:tblLook w:val="04A0" w:firstRow="1" w:lastRow="0" w:firstColumn="1" w:lastColumn="0" w:noHBand="0" w:noVBand="1"/>
      </w:tblPr>
      <w:tblGrid>
        <w:gridCol w:w="9080"/>
      </w:tblGrid>
      <w:tr w:rsidR="00C30B07" w:rsidRPr="00C30B07" w:rsidTr="00C30B07">
        <w:tc>
          <w:tcPr>
            <w:tcW w:w="9854" w:type="dxa"/>
          </w:tcPr>
          <w:p w:rsidR="00C30B07" w:rsidRPr="00C30B07" w:rsidRDefault="00C30B07" w:rsidP="00C30B07">
            <w:pPr>
              <w:keepLines/>
              <w:spacing w:before="60" w:after="60"/>
              <w:ind w:left="284"/>
              <w:rPr>
                <w:rFonts w:cs="Arial"/>
                <w:i/>
                <w:spacing w:val="-1"/>
                <w:szCs w:val="22"/>
              </w:rPr>
            </w:pPr>
            <w:r w:rsidRPr="00C30B07">
              <w:rPr>
                <w:rFonts w:cs="Arial"/>
                <w:i/>
                <w:spacing w:val="-1"/>
                <w:szCs w:val="22"/>
              </w:rPr>
              <w:t>‘Role and remit should be expanded‘</w:t>
            </w:r>
          </w:p>
        </w:tc>
      </w:tr>
      <w:tr w:rsidR="00C30B07" w:rsidRPr="00C30B07" w:rsidTr="00C30B07">
        <w:tc>
          <w:tcPr>
            <w:tcW w:w="9854" w:type="dxa"/>
          </w:tcPr>
          <w:p w:rsidR="00C30B07" w:rsidRPr="00C30B07" w:rsidRDefault="00C30B07" w:rsidP="00C30B07">
            <w:pPr>
              <w:keepLines/>
              <w:spacing w:before="60" w:after="60"/>
              <w:ind w:left="284"/>
              <w:rPr>
                <w:rFonts w:cs="Arial"/>
                <w:i/>
                <w:spacing w:val="-1"/>
                <w:szCs w:val="22"/>
              </w:rPr>
            </w:pPr>
            <w:r w:rsidRPr="00C30B07">
              <w:rPr>
                <w:rFonts w:cs="Arial"/>
                <w:i/>
                <w:spacing w:val="-1"/>
                <w:szCs w:val="22"/>
              </w:rPr>
              <w:t>‘The PBO has made a highly valuable contribution to the public debate through empowering oppositions and minor parties to engage in more serious policy work‘</w:t>
            </w:r>
          </w:p>
        </w:tc>
      </w:tr>
      <w:tr w:rsidR="00C30B07" w:rsidRPr="00C30B07" w:rsidTr="00C30B07">
        <w:tc>
          <w:tcPr>
            <w:tcW w:w="9854" w:type="dxa"/>
          </w:tcPr>
          <w:p w:rsidR="00C30B07" w:rsidRPr="00C30B07" w:rsidRDefault="00C30B07" w:rsidP="00C30B07">
            <w:pPr>
              <w:keepLines/>
              <w:spacing w:before="60" w:after="60"/>
              <w:ind w:left="284"/>
              <w:rPr>
                <w:rFonts w:cs="Arial"/>
                <w:i/>
                <w:spacing w:val="-1"/>
                <w:szCs w:val="22"/>
              </w:rPr>
            </w:pPr>
            <w:r w:rsidRPr="00C30B07">
              <w:rPr>
                <w:rFonts w:cs="Arial"/>
                <w:i/>
                <w:spacing w:val="-1"/>
                <w:szCs w:val="22"/>
              </w:rPr>
              <w:t>‘An important organisation that has added to the quality of budget analysis‘</w:t>
            </w:r>
          </w:p>
        </w:tc>
      </w:tr>
    </w:tbl>
    <w:p w:rsidR="00C30B07" w:rsidRPr="00C30B07" w:rsidRDefault="00C30B07" w:rsidP="00C30B07">
      <w:pPr>
        <w:spacing w:after="0" w:line="300" w:lineRule="atLeast"/>
        <w:rPr>
          <w:rFonts w:eastAsia="Calibri"/>
          <w:spacing w:val="-1"/>
          <w:szCs w:val="22"/>
        </w:rPr>
      </w:pPr>
      <w:r w:rsidRPr="00C30B07">
        <w:rPr>
          <w:rFonts w:eastAsia="Calibri"/>
          <w:szCs w:val="22"/>
        </w:rPr>
        <w:br w:type="page"/>
      </w:r>
    </w:p>
    <w:p w:rsidR="00C30B07" w:rsidRPr="00C30B07" w:rsidRDefault="00C30B07" w:rsidP="00C30B07">
      <w:pPr>
        <w:keepNext/>
        <w:spacing w:before="340" w:after="114" w:line="250" w:lineRule="atLeast"/>
        <w:rPr>
          <w:rFonts w:eastAsia="Calibri"/>
          <w:b/>
          <w:bCs/>
          <w:color w:val="2B3B5F"/>
          <w:spacing w:val="-4"/>
          <w:sz w:val="20"/>
          <w:szCs w:val="20"/>
        </w:rPr>
      </w:pPr>
      <w:bookmarkStart w:id="4" w:name="_Toc429035321"/>
      <w:bookmarkStart w:id="5" w:name="_Toc429035401"/>
      <w:bookmarkStart w:id="6" w:name="_Toc430083216"/>
      <w:bookmarkStart w:id="7" w:name="_Toc430083302"/>
      <w:bookmarkStart w:id="8" w:name="_Toc430083341"/>
      <w:bookmarkStart w:id="9" w:name="_Toc431389409"/>
      <w:bookmarkStart w:id="10" w:name="_Toc463866527"/>
      <w:bookmarkStart w:id="11" w:name="_Toc463877323"/>
      <w:r w:rsidRPr="00C30B07">
        <w:rPr>
          <w:rFonts w:eastAsia="Calibri"/>
          <w:b/>
          <w:bCs/>
          <w:color w:val="2B3B5F"/>
          <w:spacing w:val="-4"/>
          <w:sz w:val="20"/>
          <w:szCs w:val="20"/>
        </w:rPr>
        <w:lastRenderedPageBreak/>
        <w:t xml:space="preserve">Figure </w:t>
      </w:r>
      <w:r w:rsidRPr="00C30B07">
        <w:rPr>
          <w:rFonts w:eastAsia="Calibri"/>
          <w:b/>
          <w:bCs/>
          <w:color w:val="2B3B5F"/>
          <w:spacing w:val="-4"/>
          <w:sz w:val="20"/>
          <w:szCs w:val="20"/>
        </w:rPr>
        <w:fldChar w:fldCharType="begin"/>
      </w:r>
      <w:r w:rsidRPr="00C30B07">
        <w:rPr>
          <w:rFonts w:eastAsia="Calibri"/>
          <w:b/>
          <w:bCs/>
          <w:color w:val="2B3B5F"/>
          <w:spacing w:val="-4"/>
          <w:sz w:val="20"/>
          <w:szCs w:val="20"/>
        </w:rPr>
        <w:instrText xml:space="preserve"> SEQ Figure \* ARABIC \s 1 </w:instrText>
      </w:r>
      <w:r w:rsidRPr="00C30B07">
        <w:rPr>
          <w:rFonts w:eastAsia="Calibri"/>
          <w:b/>
          <w:bCs/>
          <w:color w:val="2B3B5F"/>
          <w:spacing w:val="-4"/>
          <w:sz w:val="20"/>
          <w:szCs w:val="20"/>
        </w:rPr>
        <w:fldChar w:fldCharType="separate"/>
      </w:r>
      <w:r>
        <w:rPr>
          <w:rFonts w:eastAsia="Calibri"/>
          <w:b/>
          <w:bCs/>
          <w:noProof/>
          <w:color w:val="2B3B5F"/>
          <w:spacing w:val="-4"/>
          <w:sz w:val="20"/>
          <w:szCs w:val="20"/>
        </w:rPr>
        <w:t>1</w:t>
      </w:r>
      <w:r w:rsidRPr="00C30B07">
        <w:rPr>
          <w:rFonts w:eastAsia="Calibri"/>
          <w:b/>
          <w:bCs/>
          <w:noProof/>
          <w:color w:val="2B3B5F"/>
          <w:spacing w:val="-4"/>
          <w:sz w:val="20"/>
          <w:szCs w:val="20"/>
        </w:rPr>
        <w:fldChar w:fldCharType="end"/>
      </w:r>
      <w:r w:rsidRPr="00C30B07">
        <w:rPr>
          <w:rFonts w:eastAsia="Calibri"/>
          <w:b/>
          <w:bCs/>
          <w:color w:val="2B3B5F"/>
          <w:spacing w:val="-4"/>
          <w:sz w:val="20"/>
          <w:szCs w:val="20"/>
        </w:rPr>
        <w:t>: Overall satisfaction with the PBO</w:t>
      </w:r>
    </w:p>
    <w:bookmarkEnd w:id="4"/>
    <w:bookmarkEnd w:id="5"/>
    <w:bookmarkEnd w:id="6"/>
    <w:bookmarkEnd w:id="7"/>
    <w:bookmarkEnd w:id="8"/>
    <w:bookmarkEnd w:id="9"/>
    <w:bookmarkEnd w:id="10"/>
    <w:bookmarkEnd w:id="11"/>
    <w:p w:rsidR="00C30B07" w:rsidRPr="00C30B07" w:rsidRDefault="00C30B07" w:rsidP="00C30B07">
      <w:pPr>
        <w:spacing w:before="120" w:after="114"/>
        <w:rPr>
          <w:rFonts w:eastAsia="Calibri"/>
          <w:spacing w:val="-1"/>
          <w:szCs w:val="22"/>
        </w:rPr>
      </w:pPr>
      <w:r w:rsidRPr="00C30B07">
        <w:rPr>
          <w:rFonts w:eastAsia="Calibri"/>
          <w:noProof/>
          <w:spacing w:val="-1"/>
          <w:szCs w:val="22"/>
          <w:lang w:eastAsia="en-AU"/>
        </w:rPr>
        <w:drawing>
          <wp:inline distT="0" distB="0" distL="0" distR="0" wp14:anchorId="0B932643" wp14:editId="272F873F">
            <wp:extent cx="5731509" cy="653541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ens diagrams-05.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09" cy="6535410"/>
                    </a:xfrm>
                    <a:prstGeom prst="rect">
                      <a:avLst/>
                    </a:prstGeom>
                  </pic:spPr>
                </pic:pic>
              </a:graphicData>
            </a:graphic>
          </wp:inline>
        </w:drawing>
      </w:r>
    </w:p>
    <w:p w:rsidR="00C30B07" w:rsidRPr="00C30B07" w:rsidRDefault="00C30B07" w:rsidP="00C30B07">
      <w:pPr>
        <w:spacing w:before="120" w:after="114"/>
        <w:rPr>
          <w:rFonts w:eastAsia="Calibri"/>
          <w:spacing w:val="-1"/>
          <w:szCs w:val="22"/>
        </w:rPr>
      </w:pPr>
    </w:p>
    <w:p w:rsidR="00C30B07" w:rsidRPr="00C30B07" w:rsidRDefault="00C30B07" w:rsidP="00C30B07">
      <w:pPr>
        <w:spacing w:after="0" w:line="300" w:lineRule="atLeast"/>
        <w:rPr>
          <w:rFonts w:eastAsia="Calibri"/>
          <w:spacing w:val="-1"/>
          <w:szCs w:val="22"/>
        </w:rPr>
      </w:pPr>
      <w:r w:rsidRPr="00C30B07">
        <w:rPr>
          <w:rFonts w:eastAsia="Calibri"/>
          <w:szCs w:val="22"/>
        </w:rPr>
        <w:br w:type="page"/>
      </w:r>
    </w:p>
    <w:p w:rsidR="00C30B07" w:rsidRPr="00C30B07" w:rsidRDefault="00C30B07" w:rsidP="00C30B07">
      <w:pPr>
        <w:keepNext/>
        <w:keepLines/>
        <w:numPr>
          <w:ilvl w:val="1"/>
          <w:numId w:val="0"/>
        </w:numPr>
        <w:tabs>
          <w:tab w:val="num" w:pos="0"/>
          <w:tab w:val="left" w:pos="1418"/>
          <w:tab w:val="left" w:pos="1701"/>
          <w:tab w:val="left" w:pos="1985"/>
        </w:tabs>
        <w:spacing w:before="320" w:after="170"/>
        <w:outlineLvl w:val="1"/>
        <w:rPr>
          <w:rFonts w:ascii="Georgia" w:eastAsia="Calibri" w:hAnsi="Georgia"/>
          <w:bCs/>
          <w:iCs/>
          <w:color w:val="264A76"/>
          <w:kern w:val="20"/>
          <w:sz w:val="30"/>
          <w:szCs w:val="28"/>
        </w:rPr>
      </w:pPr>
      <w:bookmarkStart w:id="12" w:name="_Toc509920473"/>
      <w:r w:rsidRPr="00C30B07">
        <w:rPr>
          <w:rFonts w:ascii="Georgia" w:eastAsia="Calibri" w:hAnsi="Georgia"/>
          <w:bCs/>
          <w:iCs/>
          <w:color w:val="264A76"/>
          <w:kern w:val="20"/>
          <w:sz w:val="30"/>
          <w:szCs w:val="28"/>
        </w:rPr>
        <w:lastRenderedPageBreak/>
        <w:t>Published research</w:t>
      </w:r>
      <w:bookmarkEnd w:id="12"/>
    </w:p>
    <w:p w:rsidR="00C30B07" w:rsidRPr="00C30B07" w:rsidRDefault="00C30B07" w:rsidP="00C30B07">
      <w:pPr>
        <w:spacing w:before="120" w:after="114"/>
        <w:rPr>
          <w:rFonts w:eastAsia="Calibri"/>
          <w:spacing w:val="-1"/>
          <w:szCs w:val="22"/>
        </w:rPr>
      </w:pPr>
      <w:r w:rsidRPr="00C30B07">
        <w:rPr>
          <w:rFonts w:eastAsia="Calibri"/>
          <w:spacing w:val="-1"/>
          <w:szCs w:val="22"/>
        </w:rPr>
        <w:t>Around seven in ten respondents indicated that they had read at least one PBO publication in the last 12 months. The most commonly read publications were research reports (67%; 2015: 59%) and information and consultation papers (63%; 2015: not available).  The chart packs, the 2013 Post</w:t>
      </w:r>
      <w:r w:rsidRPr="00C30B07">
        <w:rPr>
          <w:rFonts w:eastAsia="Calibri"/>
          <w:spacing w:val="-1"/>
          <w:szCs w:val="22"/>
        </w:rPr>
        <w:noBreakHyphen/>
        <w:t xml:space="preserve">election report and the work plan and annual report had a lower level of readership </w:t>
      </w:r>
      <w:r w:rsidRPr="00C30B07">
        <w:rPr>
          <w:rFonts w:eastAsia="Calibri"/>
          <w:spacing w:val="-1"/>
          <w:szCs w:val="22"/>
        </w:rPr>
        <w:br/>
        <w:t>(41-48%; 2015: 28-60%).</w:t>
      </w:r>
    </w:p>
    <w:p w:rsidR="00C30B07" w:rsidRPr="00C30B07" w:rsidRDefault="00C30B07" w:rsidP="00C30B07">
      <w:pPr>
        <w:spacing w:before="120" w:after="114"/>
        <w:rPr>
          <w:rFonts w:eastAsia="Calibri"/>
          <w:spacing w:val="-1"/>
          <w:szCs w:val="22"/>
        </w:rPr>
      </w:pPr>
      <w:r w:rsidRPr="00C30B07">
        <w:rPr>
          <w:rFonts w:eastAsia="Calibri"/>
          <w:spacing w:val="-1"/>
          <w:szCs w:val="22"/>
        </w:rPr>
        <w:t>A majority of respondents (84%; 2015: 76%) considered that the publications were a valuable resource in decision-making.  Respondents were also asked to rate the publications they had read across five quality attributes. All respondents agreed that the PBO reports helped them to gain a better understanding of budget issues (100%; 2015: 97%)</w:t>
      </w:r>
      <w:proofErr w:type="gramStart"/>
      <w:r w:rsidRPr="00C30B07">
        <w:rPr>
          <w:rFonts w:eastAsia="Calibri"/>
          <w:spacing w:val="-1"/>
          <w:szCs w:val="22"/>
        </w:rPr>
        <w:t>,</w:t>
      </w:r>
      <w:proofErr w:type="gramEnd"/>
      <w:r w:rsidRPr="00C30B07">
        <w:rPr>
          <w:rFonts w:eastAsia="Calibri"/>
          <w:spacing w:val="-1"/>
          <w:szCs w:val="22"/>
        </w:rPr>
        <w:t xml:space="preserve"> the report findings were supported by the analysis (100%; 2015: 91%) and information was clearly sourced and referenced (100%; 2015: 91%).  The vast majority of respondents also agreed that the assumptions used by the PBO were clear (96%; 2015: 88%); and the reports were easy to understand (96%; 2015: 88%).</w:t>
      </w:r>
    </w:p>
    <w:p w:rsidR="00C30B07" w:rsidRPr="00C30B07" w:rsidRDefault="00C30B07" w:rsidP="00C30B07">
      <w:pPr>
        <w:keepLines/>
        <w:tabs>
          <w:tab w:val="num" w:pos="907"/>
        </w:tabs>
        <w:spacing w:before="60" w:after="60"/>
        <w:ind w:left="284" w:hanging="284"/>
        <w:rPr>
          <w:rFonts w:eastAsia="Calibri"/>
          <w:spacing w:val="-1"/>
          <w:szCs w:val="22"/>
        </w:rPr>
      </w:pPr>
      <w:r w:rsidRPr="00C30B07">
        <w:rPr>
          <w:rFonts w:eastAsia="Calibri"/>
          <w:spacing w:val="-1"/>
          <w:szCs w:val="22"/>
        </w:rPr>
        <w:t>Two additional attributes were also measured in the survey relating to the accessibility of the PBO’s publications, with a vast majority of respondents finding the reports to be easy to download from the website (91%; 2015: 94%) and easy to find (72%; 2015: 88%).  Further analysis on the PBO website is outlined below.</w:t>
      </w:r>
    </w:p>
    <w:p w:rsidR="00C30B07" w:rsidRPr="00C30B07" w:rsidRDefault="00C30B07" w:rsidP="00C30B07">
      <w:pPr>
        <w:spacing w:before="120" w:after="114"/>
        <w:rPr>
          <w:rFonts w:eastAsia="Calibri"/>
          <w:spacing w:val="-1"/>
          <w:szCs w:val="22"/>
        </w:rPr>
      </w:pPr>
      <w:r w:rsidRPr="00C30B07">
        <w:rPr>
          <w:rFonts w:eastAsia="Calibri"/>
          <w:spacing w:val="-1"/>
          <w:szCs w:val="22"/>
        </w:rPr>
        <w:t>Figure 2 illustrates the level of usage (</w:t>
      </w:r>
      <w:proofErr w:type="spellStart"/>
      <w:r w:rsidRPr="00C30B07">
        <w:rPr>
          <w:rFonts w:eastAsia="Calibri"/>
          <w:spacing w:val="-1"/>
          <w:szCs w:val="22"/>
        </w:rPr>
        <w:t>ie</w:t>
      </w:r>
      <w:proofErr w:type="spellEnd"/>
      <w:r w:rsidRPr="00C30B07">
        <w:rPr>
          <w:rFonts w:eastAsia="Calibri"/>
          <w:spacing w:val="-1"/>
          <w:szCs w:val="22"/>
        </w:rPr>
        <w:t xml:space="preserve"> whether read) of PBO publications with the level of usefulness (if read).</w:t>
      </w:r>
    </w:p>
    <w:p w:rsidR="00C30B07" w:rsidRPr="00C30B07" w:rsidRDefault="00C30B07" w:rsidP="00C30B07">
      <w:pPr>
        <w:spacing w:before="120" w:after="114"/>
        <w:rPr>
          <w:rFonts w:eastAsia="Calibri"/>
          <w:spacing w:val="-1"/>
          <w:szCs w:val="22"/>
        </w:rPr>
      </w:pPr>
      <w:r w:rsidRPr="00C30B07">
        <w:rPr>
          <w:rFonts w:eastAsia="Calibri"/>
          <w:spacing w:val="-1"/>
          <w:szCs w:val="22"/>
        </w:rPr>
        <w:t>Respondents provided additional comments in relation to the publications provided by the PBO:</w:t>
      </w:r>
    </w:p>
    <w:tbl>
      <w:tblPr>
        <w:tblStyle w:val="PullOutBoxTable"/>
        <w:tblW w:w="0" w:type="auto"/>
        <w:tblLook w:val="04A0" w:firstRow="1" w:lastRow="0" w:firstColumn="1" w:lastColumn="0" w:noHBand="0" w:noVBand="1"/>
      </w:tblPr>
      <w:tblGrid>
        <w:gridCol w:w="9080"/>
      </w:tblGrid>
      <w:tr w:rsidR="00C30B07" w:rsidRPr="00C30B07" w:rsidTr="00C30B07">
        <w:tc>
          <w:tcPr>
            <w:tcW w:w="9854" w:type="dxa"/>
          </w:tcPr>
          <w:p w:rsidR="00C30B07" w:rsidRPr="00C30B07" w:rsidRDefault="00C30B07" w:rsidP="00C30B07">
            <w:pPr>
              <w:keepLines/>
              <w:spacing w:before="60" w:after="60"/>
              <w:ind w:left="284"/>
              <w:rPr>
                <w:rFonts w:cs="Arial"/>
                <w:spacing w:val="-1"/>
                <w:szCs w:val="22"/>
              </w:rPr>
            </w:pPr>
            <w:r w:rsidRPr="00C30B07">
              <w:rPr>
                <w:rFonts w:cs="Arial"/>
                <w:i/>
                <w:spacing w:val="-1"/>
                <w:szCs w:val="22"/>
              </w:rPr>
              <w:t>‘Excellent’</w:t>
            </w:r>
          </w:p>
        </w:tc>
      </w:tr>
      <w:tr w:rsidR="00C30B07" w:rsidRPr="00C30B07" w:rsidTr="00C30B07">
        <w:tc>
          <w:tcPr>
            <w:tcW w:w="9854" w:type="dxa"/>
          </w:tcPr>
          <w:p w:rsidR="00C30B07" w:rsidRPr="00C30B07" w:rsidRDefault="00C30B07" w:rsidP="00C30B07">
            <w:pPr>
              <w:keepLines/>
              <w:spacing w:before="60" w:after="60"/>
              <w:ind w:left="284"/>
              <w:rPr>
                <w:rFonts w:cs="Arial"/>
                <w:spacing w:val="-1"/>
                <w:szCs w:val="22"/>
              </w:rPr>
            </w:pPr>
            <w:r w:rsidRPr="00C30B07">
              <w:rPr>
                <w:rFonts w:cs="Arial"/>
                <w:i/>
                <w:spacing w:val="-1"/>
                <w:szCs w:val="22"/>
              </w:rPr>
              <w:t>‘PBO’s research output is incredibly important and I appreciate the focus on the medium-term outlook’</w:t>
            </w:r>
          </w:p>
        </w:tc>
      </w:tr>
      <w:tr w:rsidR="00C30B07" w:rsidRPr="00C30B07" w:rsidTr="00C30B07">
        <w:tc>
          <w:tcPr>
            <w:tcW w:w="9854" w:type="dxa"/>
          </w:tcPr>
          <w:p w:rsidR="00C30B07" w:rsidRPr="00C30B07" w:rsidRDefault="00C30B07" w:rsidP="00C30B07">
            <w:pPr>
              <w:keepLines/>
              <w:spacing w:before="60" w:after="60"/>
              <w:ind w:left="284"/>
              <w:rPr>
                <w:rFonts w:cs="Arial"/>
                <w:spacing w:val="-1"/>
                <w:szCs w:val="22"/>
              </w:rPr>
            </w:pPr>
            <w:r w:rsidRPr="00C30B07">
              <w:rPr>
                <w:rFonts w:cs="Arial"/>
                <w:i/>
                <w:spacing w:val="-1"/>
                <w:szCs w:val="22"/>
              </w:rPr>
              <w:t>‘I find them very useful in my work’</w:t>
            </w:r>
          </w:p>
        </w:tc>
      </w:tr>
    </w:tbl>
    <w:p w:rsidR="00C30B07" w:rsidRPr="00C30B07" w:rsidRDefault="00C30B07" w:rsidP="00C30B07">
      <w:pPr>
        <w:spacing w:before="120" w:after="114"/>
        <w:rPr>
          <w:rFonts w:eastAsia="Calibri"/>
          <w:spacing w:val="-1"/>
          <w:szCs w:val="22"/>
        </w:rPr>
      </w:pPr>
      <w:r w:rsidRPr="00C30B07">
        <w:rPr>
          <w:rFonts w:eastAsia="Calibri"/>
          <w:spacing w:val="-1"/>
          <w:szCs w:val="22"/>
        </w:rPr>
        <w:t>The majority of respondents indicated that they were made aware of new PBO publications through the PBO email list (60%; 2015: 71%). Other ways through which respondents became aware of new publications were by checking the PBO website (37%; 2015: 29%), through word of mouth (26%; 2015: 26%) or through the media (30%; 2015: 23%). Only 7% (2015: 3%) of respondents recalled being made aware of new publications via the PBO’s twitter account.</w:t>
      </w:r>
    </w:p>
    <w:p w:rsidR="00C30B07" w:rsidRPr="00C30B07" w:rsidRDefault="00C30B07" w:rsidP="00C30B07">
      <w:pPr>
        <w:keepNext/>
        <w:spacing w:before="340" w:after="114" w:line="250" w:lineRule="atLeast"/>
        <w:rPr>
          <w:rFonts w:eastAsia="Calibri"/>
          <w:b/>
          <w:bCs/>
          <w:color w:val="2B3B5F"/>
          <w:spacing w:val="-4"/>
          <w:sz w:val="20"/>
          <w:szCs w:val="20"/>
        </w:rPr>
      </w:pPr>
      <w:r w:rsidRPr="00C30B07">
        <w:rPr>
          <w:rFonts w:eastAsia="Calibri"/>
          <w:b/>
          <w:bCs/>
          <w:color w:val="2B3B5F"/>
          <w:spacing w:val="-4"/>
          <w:sz w:val="20"/>
          <w:szCs w:val="20"/>
        </w:rPr>
        <w:lastRenderedPageBreak/>
        <w:t xml:space="preserve">Figure </w:t>
      </w:r>
      <w:r w:rsidRPr="00C30B07">
        <w:rPr>
          <w:rFonts w:eastAsia="Calibri"/>
          <w:b/>
          <w:bCs/>
          <w:color w:val="2B3B5F"/>
          <w:spacing w:val="-4"/>
          <w:sz w:val="20"/>
          <w:szCs w:val="20"/>
        </w:rPr>
        <w:fldChar w:fldCharType="begin"/>
      </w:r>
      <w:r w:rsidRPr="00C30B07">
        <w:rPr>
          <w:rFonts w:eastAsia="Calibri"/>
          <w:b/>
          <w:bCs/>
          <w:color w:val="2B3B5F"/>
          <w:spacing w:val="-4"/>
          <w:sz w:val="20"/>
          <w:szCs w:val="20"/>
        </w:rPr>
        <w:instrText xml:space="preserve"> SEQ Figure \* ARABIC \s 1 </w:instrText>
      </w:r>
      <w:r w:rsidRPr="00C30B07">
        <w:rPr>
          <w:rFonts w:eastAsia="Calibri"/>
          <w:b/>
          <w:bCs/>
          <w:color w:val="2B3B5F"/>
          <w:spacing w:val="-4"/>
          <w:sz w:val="20"/>
          <w:szCs w:val="20"/>
        </w:rPr>
        <w:fldChar w:fldCharType="separate"/>
      </w:r>
      <w:r>
        <w:rPr>
          <w:rFonts w:eastAsia="Calibri"/>
          <w:b/>
          <w:bCs/>
          <w:noProof/>
          <w:color w:val="2B3B5F"/>
          <w:spacing w:val="-4"/>
          <w:sz w:val="20"/>
          <w:szCs w:val="20"/>
        </w:rPr>
        <w:t>2</w:t>
      </w:r>
      <w:r w:rsidRPr="00C30B07">
        <w:rPr>
          <w:rFonts w:eastAsia="Calibri"/>
          <w:b/>
          <w:bCs/>
          <w:noProof/>
          <w:color w:val="2B3B5F"/>
          <w:spacing w:val="-4"/>
          <w:sz w:val="20"/>
          <w:szCs w:val="20"/>
        </w:rPr>
        <w:fldChar w:fldCharType="end"/>
      </w:r>
      <w:r w:rsidRPr="00C30B07">
        <w:rPr>
          <w:rFonts w:eastAsia="Calibri"/>
          <w:b/>
          <w:bCs/>
          <w:color w:val="2B3B5F"/>
          <w:spacing w:val="-4"/>
          <w:sz w:val="20"/>
          <w:szCs w:val="20"/>
        </w:rPr>
        <w:t>: Usage and usefulness of PBO publications</w:t>
      </w:r>
    </w:p>
    <w:p w:rsidR="00C30B07" w:rsidRPr="00C30B07" w:rsidRDefault="00C30B07" w:rsidP="00C30B07">
      <w:pPr>
        <w:spacing w:before="120" w:after="114"/>
        <w:rPr>
          <w:rFonts w:eastAsia="Calibri"/>
          <w:spacing w:val="-1"/>
          <w:szCs w:val="22"/>
        </w:rPr>
      </w:pPr>
      <w:r w:rsidRPr="00C30B07">
        <w:rPr>
          <w:rFonts w:eastAsia="Calibri"/>
          <w:noProof/>
          <w:spacing w:val="-1"/>
          <w:szCs w:val="22"/>
          <w:lang w:eastAsia="en-AU"/>
        </w:rPr>
        <w:drawing>
          <wp:inline distT="0" distB="0" distL="0" distR="0" wp14:anchorId="0433A7C8" wp14:editId="4CB8558F">
            <wp:extent cx="5367130" cy="3840480"/>
            <wp:effectExtent l="0" t="0" r="508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30B07" w:rsidRPr="00C30B07" w:rsidRDefault="00C30B07" w:rsidP="00C30B07">
      <w:pPr>
        <w:keepNext/>
        <w:keepLines/>
        <w:tabs>
          <w:tab w:val="left" w:pos="1418"/>
          <w:tab w:val="left" w:pos="1701"/>
          <w:tab w:val="left" w:pos="1985"/>
        </w:tabs>
        <w:spacing w:before="320" w:after="170"/>
        <w:outlineLvl w:val="1"/>
        <w:rPr>
          <w:rFonts w:ascii="Georgia" w:eastAsia="Calibri" w:hAnsi="Georgia"/>
          <w:bCs/>
          <w:iCs/>
          <w:color w:val="264A76"/>
          <w:kern w:val="20"/>
          <w:sz w:val="30"/>
          <w:szCs w:val="28"/>
        </w:rPr>
      </w:pPr>
      <w:bookmarkStart w:id="13" w:name="_Toc509920474"/>
      <w:r w:rsidRPr="00C30B07">
        <w:rPr>
          <w:rFonts w:ascii="Georgia" w:eastAsia="Calibri" w:hAnsi="Georgia"/>
          <w:bCs/>
          <w:iCs/>
          <w:color w:val="264A76"/>
          <w:kern w:val="20"/>
          <w:sz w:val="30"/>
          <w:szCs w:val="28"/>
        </w:rPr>
        <w:t>Policy costings and budget analyses</w:t>
      </w:r>
      <w:bookmarkEnd w:id="13"/>
    </w:p>
    <w:p w:rsidR="00C30B07" w:rsidRPr="00C30B07" w:rsidRDefault="00C30B07" w:rsidP="00C30B07">
      <w:pPr>
        <w:spacing w:before="120" w:after="114"/>
        <w:rPr>
          <w:rFonts w:eastAsia="Calibri"/>
          <w:spacing w:val="-1"/>
          <w:szCs w:val="22"/>
        </w:rPr>
      </w:pPr>
      <w:r w:rsidRPr="00C30B07">
        <w:rPr>
          <w:rFonts w:eastAsia="Calibri"/>
          <w:spacing w:val="-1"/>
          <w:szCs w:val="22"/>
        </w:rPr>
        <w:t xml:space="preserve">The PBO provides a direct service to parliamentarians (and their staff) in producing confidential costings of policy proposals and budget analyses outside the caretaker period.  </w:t>
      </w:r>
    </w:p>
    <w:p w:rsidR="00C30B07" w:rsidRPr="00C30B07" w:rsidRDefault="00C30B07" w:rsidP="00C30B07">
      <w:pPr>
        <w:spacing w:before="120" w:after="114"/>
        <w:rPr>
          <w:rFonts w:eastAsia="Calibri"/>
          <w:spacing w:val="-1"/>
          <w:szCs w:val="22"/>
        </w:rPr>
      </w:pPr>
      <w:r w:rsidRPr="00C30B07">
        <w:rPr>
          <w:rFonts w:eastAsia="Calibri"/>
          <w:spacing w:val="-1"/>
          <w:szCs w:val="22"/>
        </w:rPr>
        <w:t>Parliamentarians and staff were invited to respond to questions about their direct dealings with the PBO in submitting a request.  Of those that completed this section:</w:t>
      </w:r>
    </w:p>
    <w:p w:rsidR="00C30B07" w:rsidRPr="00C30B07" w:rsidRDefault="00C30B07" w:rsidP="00C30B07">
      <w:pPr>
        <w:keepLines/>
        <w:tabs>
          <w:tab w:val="num" w:pos="907"/>
        </w:tabs>
        <w:spacing w:before="60" w:after="60"/>
        <w:ind w:left="284" w:hanging="284"/>
        <w:rPr>
          <w:rFonts w:eastAsia="Calibri"/>
          <w:spacing w:val="-1"/>
          <w:szCs w:val="22"/>
        </w:rPr>
      </w:pPr>
      <w:r w:rsidRPr="00C30B07">
        <w:rPr>
          <w:rFonts w:eastAsia="Calibri"/>
          <w:spacing w:val="-1"/>
          <w:szCs w:val="22"/>
        </w:rPr>
        <w:t xml:space="preserve">A majority (63%; 2015: 70%) had </w:t>
      </w:r>
      <w:r w:rsidRPr="00C30B07">
        <w:rPr>
          <w:rFonts w:eastAsia="Calibri"/>
          <w:b/>
          <w:spacing w:val="-1"/>
          <w:szCs w:val="22"/>
        </w:rPr>
        <w:t xml:space="preserve">direct contact </w:t>
      </w:r>
      <w:r w:rsidRPr="00C30B07">
        <w:rPr>
          <w:rFonts w:eastAsia="Calibri"/>
          <w:spacing w:val="-1"/>
          <w:szCs w:val="22"/>
        </w:rPr>
        <w:t>with the PBO around four times or more in the last 12 months</w:t>
      </w:r>
    </w:p>
    <w:p w:rsidR="00C30B07" w:rsidRPr="00C30B07" w:rsidRDefault="00C30B07" w:rsidP="00C30B07">
      <w:pPr>
        <w:keepLines/>
        <w:tabs>
          <w:tab w:val="num" w:pos="907"/>
        </w:tabs>
        <w:spacing w:before="60" w:after="60"/>
        <w:ind w:left="284" w:hanging="284"/>
        <w:rPr>
          <w:rFonts w:eastAsia="Calibri"/>
          <w:spacing w:val="-1"/>
          <w:szCs w:val="22"/>
        </w:rPr>
      </w:pPr>
      <w:r w:rsidRPr="00C30B07">
        <w:rPr>
          <w:rFonts w:eastAsia="Calibri"/>
          <w:spacing w:val="-1"/>
          <w:szCs w:val="22"/>
        </w:rPr>
        <w:t xml:space="preserve">78% (2015: 75%) had an </w:t>
      </w:r>
      <w:r w:rsidRPr="00C30B07">
        <w:rPr>
          <w:rFonts w:eastAsia="Calibri"/>
          <w:b/>
          <w:spacing w:val="-1"/>
          <w:szCs w:val="22"/>
        </w:rPr>
        <w:t xml:space="preserve">initial discussion </w:t>
      </w:r>
      <w:r w:rsidRPr="00C30B07">
        <w:rPr>
          <w:rFonts w:eastAsia="Calibri"/>
          <w:spacing w:val="-1"/>
          <w:szCs w:val="22"/>
        </w:rPr>
        <w:t>with the PBO prior to submitting a request, and</w:t>
      </w:r>
    </w:p>
    <w:p w:rsidR="00C30B07" w:rsidRPr="00C30B07" w:rsidRDefault="00C30B07" w:rsidP="00C30B07">
      <w:pPr>
        <w:keepLines/>
        <w:tabs>
          <w:tab w:val="num" w:pos="907"/>
        </w:tabs>
        <w:spacing w:before="60" w:after="60"/>
        <w:ind w:left="284" w:hanging="284"/>
        <w:rPr>
          <w:rFonts w:eastAsia="Calibri"/>
          <w:spacing w:val="-1"/>
          <w:szCs w:val="22"/>
        </w:rPr>
      </w:pPr>
      <w:r w:rsidRPr="00C30B07">
        <w:rPr>
          <w:rFonts w:eastAsia="Calibri"/>
          <w:spacing w:val="-1"/>
          <w:szCs w:val="22"/>
        </w:rPr>
        <w:t xml:space="preserve">89% (2015: 83%) submitted a </w:t>
      </w:r>
      <w:r w:rsidRPr="00C30B07">
        <w:rPr>
          <w:rFonts w:eastAsia="Calibri"/>
          <w:b/>
          <w:spacing w:val="-1"/>
          <w:szCs w:val="22"/>
        </w:rPr>
        <w:t xml:space="preserve">formal request </w:t>
      </w:r>
      <w:r w:rsidRPr="00C30B07">
        <w:rPr>
          <w:rFonts w:eastAsia="Calibri"/>
          <w:spacing w:val="-1"/>
          <w:szCs w:val="22"/>
        </w:rPr>
        <w:t>in the past 12 months.</w:t>
      </w:r>
    </w:p>
    <w:p w:rsidR="00C30B07" w:rsidRPr="00C30B07" w:rsidRDefault="00C30B07" w:rsidP="00C30B07">
      <w:pPr>
        <w:spacing w:before="120" w:after="114"/>
        <w:rPr>
          <w:rFonts w:eastAsia="Calibri"/>
          <w:spacing w:val="-1"/>
          <w:szCs w:val="22"/>
        </w:rPr>
      </w:pPr>
      <w:r w:rsidRPr="00C30B07">
        <w:rPr>
          <w:rFonts w:eastAsia="Calibri"/>
          <w:spacing w:val="-1"/>
          <w:szCs w:val="22"/>
        </w:rPr>
        <w:t xml:space="preserve">Respondents were given the opportunity to rate their experiences with the PBO across each of the three stages of contact with the PBO: </w:t>
      </w:r>
      <w:r w:rsidRPr="00C30B07">
        <w:rPr>
          <w:rFonts w:eastAsia="Calibri"/>
          <w:b/>
          <w:spacing w:val="-1"/>
          <w:szCs w:val="22"/>
        </w:rPr>
        <w:t>initial discussion</w:t>
      </w:r>
      <w:r w:rsidRPr="00C30B07">
        <w:rPr>
          <w:rFonts w:eastAsia="Calibri"/>
          <w:spacing w:val="-1"/>
          <w:szCs w:val="22"/>
        </w:rPr>
        <w:t xml:space="preserve">; </w:t>
      </w:r>
      <w:r w:rsidRPr="00C30B07">
        <w:rPr>
          <w:rFonts w:eastAsia="Calibri"/>
          <w:b/>
          <w:spacing w:val="-1"/>
          <w:szCs w:val="22"/>
        </w:rPr>
        <w:t>formal request</w:t>
      </w:r>
      <w:r w:rsidRPr="00C30B07">
        <w:rPr>
          <w:rFonts w:eastAsia="Calibri"/>
          <w:spacing w:val="-1"/>
          <w:szCs w:val="22"/>
        </w:rPr>
        <w:t xml:space="preserve">; and </w:t>
      </w:r>
      <w:r w:rsidRPr="00C30B07">
        <w:rPr>
          <w:rFonts w:eastAsia="Calibri"/>
          <w:b/>
          <w:spacing w:val="-1"/>
          <w:szCs w:val="22"/>
        </w:rPr>
        <w:t>formal response</w:t>
      </w:r>
      <w:r w:rsidRPr="00C30B07">
        <w:rPr>
          <w:rFonts w:eastAsia="Calibri"/>
          <w:spacing w:val="-1"/>
          <w:szCs w:val="22"/>
        </w:rPr>
        <w:t>. Their ratings across a range of service attributes within each stage show a solid to very high level of overall satisfaction across each of the three stages. As illustrated in Figure 3, 100% (2015: 89%) of respondents were satisfied with the initial discussion, 100% (2015: 89%) were satisfied with the customer service during the formal request although 88% (2015: 75%) were satisfied with the request template itself, and 88% (2015: 75%) were satisfied with the formal response.</w:t>
      </w:r>
    </w:p>
    <w:p w:rsidR="00C30B07" w:rsidRPr="00C30B07" w:rsidRDefault="00C30B07" w:rsidP="00C30B07">
      <w:pPr>
        <w:keepNext/>
        <w:spacing w:before="340" w:after="114" w:line="250" w:lineRule="atLeast"/>
        <w:rPr>
          <w:rFonts w:eastAsia="Calibri"/>
          <w:b/>
          <w:bCs/>
          <w:color w:val="2B3B5F"/>
          <w:spacing w:val="-4"/>
          <w:sz w:val="20"/>
          <w:szCs w:val="20"/>
        </w:rPr>
      </w:pPr>
      <w:r w:rsidRPr="00C30B07">
        <w:rPr>
          <w:rFonts w:eastAsia="Calibri"/>
          <w:b/>
          <w:bCs/>
          <w:color w:val="2B3B5F"/>
          <w:spacing w:val="-4"/>
          <w:sz w:val="20"/>
          <w:szCs w:val="20"/>
        </w:rPr>
        <w:lastRenderedPageBreak/>
        <w:t xml:space="preserve">Figure </w:t>
      </w:r>
      <w:r w:rsidRPr="00C30B07">
        <w:rPr>
          <w:rFonts w:eastAsia="Calibri"/>
          <w:b/>
          <w:bCs/>
          <w:color w:val="2B3B5F"/>
          <w:spacing w:val="-4"/>
          <w:sz w:val="20"/>
          <w:szCs w:val="20"/>
        </w:rPr>
        <w:fldChar w:fldCharType="begin"/>
      </w:r>
      <w:r w:rsidRPr="00C30B07">
        <w:rPr>
          <w:rFonts w:eastAsia="Calibri"/>
          <w:b/>
          <w:bCs/>
          <w:color w:val="2B3B5F"/>
          <w:spacing w:val="-4"/>
          <w:sz w:val="20"/>
          <w:szCs w:val="20"/>
        </w:rPr>
        <w:instrText xml:space="preserve"> SEQ Figure \* ARABIC \s 1 </w:instrText>
      </w:r>
      <w:r w:rsidRPr="00C30B07">
        <w:rPr>
          <w:rFonts w:eastAsia="Calibri"/>
          <w:b/>
          <w:bCs/>
          <w:color w:val="2B3B5F"/>
          <w:spacing w:val="-4"/>
          <w:sz w:val="20"/>
          <w:szCs w:val="20"/>
        </w:rPr>
        <w:fldChar w:fldCharType="separate"/>
      </w:r>
      <w:r>
        <w:rPr>
          <w:rFonts w:eastAsia="Calibri"/>
          <w:b/>
          <w:bCs/>
          <w:noProof/>
          <w:color w:val="2B3B5F"/>
          <w:spacing w:val="-4"/>
          <w:sz w:val="20"/>
          <w:szCs w:val="20"/>
        </w:rPr>
        <w:t>3</w:t>
      </w:r>
      <w:r w:rsidRPr="00C30B07">
        <w:rPr>
          <w:rFonts w:eastAsia="Calibri"/>
          <w:b/>
          <w:bCs/>
          <w:noProof/>
          <w:color w:val="2B3B5F"/>
          <w:spacing w:val="-4"/>
          <w:sz w:val="20"/>
          <w:szCs w:val="20"/>
        </w:rPr>
        <w:fldChar w:fldCharType="end"/>
      </w:r>
      <w:r w:rsidRPr="00C30B07">
        <w:rPr>
          <w:rFonts w:eastAsia="Calibri"/>
          <w:b/>
          <w:bCs/>
          <w:color w:val="2B3B5F"/>
          <w:spacing w:val="-4"/>
          <w:sz w:val="20"/>
          <w:szCs w:val="20"/>
        </w:rPr>
        <w:t>: Experiences in dealing with the PBO</w:t>
      </w:r>
    </w:p>
    <w:p w:rsidR="00C30B07" w:rsidRPr="00C30B07" w:rsidRDefault="00C30B07" w:rsidP="00C30B07">
      <w:pPr>
        <w:spacing w:before="120" w:after="114"/>
        <w:rPr>
          <w:rFonts w:eastAsia="Calibri"/>
          <w:spacing w:val="-1"/>
          <w:szCs w:val="22"/>
        </w:rPr>
      </w:pPr>
      <w:r w:rsidRPr="00C30B07">
        <w:rPr>
          <w:rFonts w:eastAsia="Calibri"/>
          <w:noProof/>
          <w:spacing w:val="-1"/>
          <w:szCs w:val="22"/>
          <w:lang w:eastAsia="en-AU"/>
        </w:rPr>
        <w:drawing>
          <wp:inline distT="0" distB="0" distL="0" distR="0" wp14:anchorId="21EE00A8" wp14:editId="429BE59A">
            <wp:extent cx="5731510" cy="2188210"/>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ens diagrams-06.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31510" cy="2188210"/>
                    </a:xfrm>
                    <a:prstGeom prst="rect">
                      <a:avLst/>
                    </a:prstGeom>
                  </pic:spPr>
                </pic:pic>
              </a:graphicData>
            </a:graphic>
          </wp:inline>
        </w:drawing>
      </w:r>
    </w:p>
    <w:p w:rsidR="00C30B07" w:rsidRPr="00C30B07" w:rsidRDefault="00C30B07" w:rsidP="00C30B07">
      <w:pPr>
        <w:spacing w:before="120" w:after="114"/>
        <w:rPr>
          <w:rFonts w:eastAsia="Calibri"/>
          <w:spacing w:val="-1"/>
          <w:szCs w:val="22"/>
        </w:rPr>
      </w:pPr>
      <w:r w:rsidRPr="00C30B07">
        <w:rPr>
          <w:rFonts w:eastAsia="Calibri"/>
          <w:spacing w:val="-1"/>
          <w:szCs w:val="22"/>
        </w:rPr>
        <w:t>Alongside these strong positive ratings, the findings also identified a number of opportunities for improvement in certain aspects of the PBO’s service delivery arrangements. Positive sentiments tended to be more subdued for measures that related to responsiveness and timeliness of interactions with clients and accessibility of the request template and the response. Specifically, these related to the following within each interaction stage:</w:t>
      </w:r>
    </w:p>
    <w:p w:rsidR="00C30B07" w:rsidRPr="00C30B07" w:rsidRDefault="00C30B07" w:rsidP="00C30B07">
      <w:pPr>
        <w:keepLines/>
        <w:tabs>
          <w:tab w:val="num" w:pos="907"/>
        </w:tabs>
        <w:spacing w:before="60" w:after="60"/>
        <w:ind w:left="284" w:hanging="284"/>
        <w:rPr>
          <w:rFonts w:eastAsia="Calibri"/>
          <w:spacing w:val="-1"/>
          <w:szCs w:val="22"/>
        </w:rPr>
      </w:pPr>
      <w:r w:rsidRPr="00C30B07">
        <w:rPr>
          <w:rFonts w:eastAsia="Calibri"/>
          <w:b/>
          <w:spacing w:val="-1"/>
          <w:szCs w:val="22"/>
        </w:rPr>
        <w:t>Initial discussion</w:t>
      </w:r>
      <w:r w:rsidRPr="00C30B07">
        <w:rPr>
          <w:rFonts w:eastAsia="Calibri"/>
          <w:spacing w:val="-1"/>
          <w:szCs w:val="22"/>
        </w:rPr>
        <w:t>: ensuring that all questions are answered (71% satisfied; 2015: 67%) and clearly informing stakeholders of how long it would take to finalise their request(s) (71%; 2015: 63%);</w:t>
      </w:r>
    </w:p>
    <w:p w:rsidR="00C30B07" w:rsidRPr="00C30B07" w:rsidRDefault="00C30B07" w:rsidP="00C30B07">
      <w:pPr>
        <w:keepLines/>
        <w:tabs>
          <w:tab w:val="num" w:pos="907"/>
        </w:tabs>
        <w:spacing w:before="60" w:after="60"/>
        <w:ind w:left="284" w:hanging="284"/>
        <w:rPr>
          <w:rFonts w:eastAsia="Calibri"/>
          <w:spacing w:val="-1"/>
          <w:szCs w:val="22"/>
        </w:rPr>
      </w:pPr>
      <w:r w:rsidRPr="00C30B07">
        <w:rPr>
          <w:rFonts w:eastAsia="Calibri"/>
          <w:b/>
          <w:spacing w:val="-1"/>
          <w:szCs w:val="22"/>
        </w:rPr>
        <w:t>Formal request</w:t>
      </w:r>
      <w:r w:rsidRPr="00C30B07">
        <w:rPr>
          <w:rFonts w:eastAsia="Calibri"/>
          <w:spacing w:val="-1"/>
          <w:szCs w:val="22"/>
        </w:rPr>
        <w:t>: the request template is easy to complete (75%; 2015: 100%), information requested was reasonable (88%; 2015: 100%) and the PBO kept me advised of the progress of my request (75%; 2015: 78%), and</w:t>
      </w:r>
    </w:p>
    <w:p w:rsidR="00C30B07" w:rsidRPr="00C30B07" w:rsidRDefault="00C30B07" w:rsidP="00C30B07">
      <w:pPr>
        <w:keepLines/>
        <w:tabs>
          <w:tab w:val="num" w:pos="907"/>
        </w:tabs>
        <w:spacing w:before="60" w:after="60"/>
        <w:ind w:left="284" w:hanging="284"/>
        <w:rPr>
          <w:rFonts w:eastAsia="Calibri"/>
          <w:spacing w:val="-1"/>
          <w:szCs w:val="22"/>
        </w:rPr>
      </w:pPr>
      <w:r w:rsidRPr="00C30B07">
        <w:rPr>
          <w:rFonts w:eastAsia="Calibri"/>
          <w:b/>
          <w:spacing w:val="-1"/>
          <w:szCs w:val="22"/>
        </w:rPr>
        <w:t>Formal response</w:t>
      </w:r>
      <w:r w:rsidRPr="00C30B07">
        <w:rPr>
          <w:rFonts w:eastAsia="Calibri"/>
          <w:spacing w:val="-1"/>
          <w:szCs w:val="22"/>
        </w:rPr>
        <w:t>: the response was easy to understand (75%; 2015: 86%).</w:t>
      </w:r>
    </w:p>
    <w:p w:rsidR="00C30B07" w:rsidRPr="00C30B07" w:rsidRDefault="00C30B07" w:rsidP="00C30B07">
      <w:pPr>
        <w:spacing w:before="120" w:after="114"/>
        <w:rPr>
          <w:rFonts w:eastAsia="Calibri"/>
          <w:spacing w:val="-1"/>
          <w:szCs w:val="22"/>
        </w:rPr>
      </w:pPr>
      <w:r w:rsidRPr="00C30B07">
        <w:rPr>
          <w:rFonts w:eastAsia="Calibri"/>
          <w:spacing w:val="-1"/>
          <w:szCs w:val="22"/>
        </w:rPr>
        <w:t>One respondent provided the following comment:</w:t>
      </w:r>
    </w:p>
    <w:tbl>
      <w:tblPr>
        <w:tblStyle w:val="PullOutBoxTable"/>
        <w:tblW w:w="0" w:type="auto"/>
        <w:tblLook w:val="04A0" w:firstRow="1" w:lastRow="0" w:firstColumn="1" w:lastColumn="0" w:noHBand="0" w:noVBand="1"/>
      </w:tblPr>
      <w:tblGrid>
        <w:gridCol w:w="9080"/>
      </w:tblGrid>
      <w:tr w:rsidR="00C30B07" w:rsidRPr="00C30B07" w:rsidTr="00C30B07">
        <w:tc>
          <w:tcPr>
            <w:tcW w:w="9080" w:type="dxa"/>
          </w:tcPr>
          <w:p w:rsidR="00C30B07" w:rsidRPr="00C30B07" w:rsidRDefault="00C30B07" w:rsidP="00C30B07">
            <w:pPr>
              <w:keepLines/>
              <w:spacing w:before="60" w:after="60"/>
              <w:ind w:left="284"/>
              <w:rPr>
                <w:rFonts w:cs="Arial"/>
                <w:i/>
                <w:spacing w:val="-1"/>
                <w:szCs w:val="22"/>
              </w:rPr>
            </w:pPr>
            <w:r w:rsidRPr="00C30B07">
              <w:rPr>
                <w:rFonts w:cs="Arial"/>
                <w:i/>
                <w:spacing w:val="-1"/>
                <w:szCs w:val="22"/>
              </w:rPr>
              <w:t>‘Sometimes completed costings that we receive are very complicated and confusing.  It would help if they could be simplified as much as possible’</w:t>
            </w:r>
          </w:p>
        </w:tc>
      </w:tr>
    </w:tbl>
    <w:p w:rsidR="00C30B07" w:rsidRPr="00C30B07" w:rsidRDefault="00C30B07" w:rsidP="00C30B07">
      <w:pPr>
        <w:spacing w:before="120" w:after="114"/>
        <w:rPr>
          <w:rFonts w:eastAsia="Calibri"/>
          <w:spacing w:val="-1"/>
          <w:szCs w:val="22"/>
        </w:rPr>
      </w:pPr>
      <w:r w:rsidRPr="00C30B07">
        <w:rPr>
          <w:rFonts w:eastAsia="Calibri"/>
          <w:spacing w:val="-1"/>
          <w:szCs w:val="22"/>
        </w:rPr>
        <w:t>A significant area of improvement from the previous survey was in relation to responses on the appropriate priority the PBO gave to requests issued by the parliamentarian or their party (100%; 2015: 59%).</w:t>
      </w:r>
    </w:p>
    <w:p w:rsidR="00C30B07" w:rsidRPr="00C30B07" w:rsidRDefault="00C30B07" w:rsidP="00C30B07">
      <w:pPr>
        <w:keepNext/>
        <w:keepLines/>
        <w:numPr>
          <w:ilvl w:val="1"/>
          <w:numId w:val="0"/>
        </w:numPr>
        <w:tabs>
          <w:tab w:val="num" w:pos="0"/>
          <w:tab w:val="left" w:pos="1418"/>
          <w:tab w:val="left" w:pos="1701"/>
          <w:tab w:val="left" w:pos="1985"/>
        </w:tabs>
        <w:spacing w:before="320" w:after="170"/>
        <w:outlineLvl w:val="1"/>
        <w:rPr>
          <w:rFonts w:ascii="Georgia" w:eastAsia="Calibri" w:hAnsi="Georgia"/>
          <w:bCs/>
          <w:iCs/>
          <w:color w:val="264A76"/>
          <w:kern w:val="20"/>
          <w:sz w:val="30"/>
          <w:szCs w:val="28"/>
        </w:rPr>
      </w:pPr>
      <w:r w:rsidRPr="00C30B07">
        <w:rPr>
          <w:rFonts w:ascii="Georgia" w:eastAsia="Calibri" w:hAnsi="Georgia"/>
          <w:bCs/>
          <w:iCs/>
          <w:color w:val="264A76"/>
          <w:kern w:val="20"/>
          <w:sz w:val="30"/>
          <w:szCs w:val="28"/>
        </w:rPr>
        <w:t>PBO Website</w:t>
      </w:r>
    </w:p>
    <w:p w:rsidR="00C30B07" w:rsidRPr="00C30B07" w:rsidRDefault="00C30B07" w:rsidP="00C30B07">
      <w:pPr>
        <w:spacing w:before="120" w:after="114"/>
        <w:rPr>
          <w:rFonts w:eastAsia="Calibri"/>
          <w:spacing w:val="-1"/>
          <w:szCs w:val="22"/>
        </w:rPr>
      </w:pPr>
      <w:r w:rsidRPr="00C30B07">
        <w:rPr>
          <w:rFonts w:eastAsia="Calibri"/>
          <w:spacing w:val="-1"/>
          <w:szCs w:val="22"/>
        </w:rPr>
        <w:t>The PBO’s website is an important mechanism to communicate information in a clear and accessible manner.</w:t>
      </w:r>
    </w:p>
    <w:p w:rsidR="00C30B07" w:rsidRPr="00C30B07" w:rsidRDefault="00C30B07" w:rsidP="00C30B07">
      <w:pPr>
        <w:spacing w:before="120" w:after="114"/>
        <w:rPr>
          <w:rFonts w:eastAsia="Calibri"/>
          <w:spacing w:val="-1"/>
          <w:szCs w:val="22"/>
        </w:rPr>
      </w:pPr>
      <w:r w:rsidRPr="00C30B07">
        <w:rPr>
          <w:rFonts w:eastAsia="Calibri"/>
          <w:spacing w:val="-1"/>
          <w:szCs w:val="22"/>
        </w:rPr>
        <w:t>Particular areas for improvement are the structure of the website (satisfied 68%; 2015: 68%) and the ease of finding information respondents were looking for (satisfied 73%; 2015: 75%).</w:t>
      </w:r>
    </w:p>
    <w:p w:rsidR="00C30B07" w:rsidRPr="00C30B07" w:rsidRDefault="00C30B07" w:rsidP="00C30B07">
      <w:pPr>
        <w:spacing w:before="120" w:after="114"/>
        <w:rPr>
          <w:rFonts w:eastAsia="Calibri"/>
          <w:spacing w:val="-1"/>
          <w:szCs w:val="22"/>
        </w:rPr>
      </w:pPr>
      <w:r w:rsidRPr="00C30B07">
        <w:rPr>
          <w:rFonts w:eastAsia="Calibri"/>
          <w:spacing w:val="-1"/>
          <w:szCs w:val="22"/>
        </w:rPr>
        <w:t>Respondents provided the following comments:</w:t>
      </w:r>
    </w:p>
    <w:tbl>
      <w:tblPr>
        <w:tblStyle w:val="PullOutBoxTable"/>
        <w:tblW w:w="0" w:type="auto"/>
        <w:tblLook w:val="04A0" w:firstRow="1" w:lastRow="0" w:firstColumn="1" w:lastColumn="0" w:noHBand="0" w:noVBand="1"/>
      </w:tblPr>
      <w:tblGrid>
        <w:gridCol w:w="9080"/>
      </w:tblGrid>
      <w:tr w:rsidR="00C30B07" w:rsidRPr="00C30B07" w:rsidTr="00C30B07">
        <w:tc>
          <w:tcPr>
            <w:tcW w:w="9854" w:type="dxa"/>
          </w:tcPr>
          <w:p w:rsidR="00C30B07" w:rsidRPr="00C30B07" w:rsidRDefault="00C30B07" w:rsidP="00C30B07">
            <w:pPr>
              <w:keepLines/>
              <w:spacing w:before="60" w:after="60"/>
              <w:ind w:left="284"/>
              <w:rPr>
                <w:rFonts w:cs="Arial"/>
                <w:i/>
                <w:spacing w:val="-1"/>
                <w:szCs w:val="22"/>
              </w:rPr>
            </w:pPr>
            <w:r w:rsidRPr="00C30B07">
              <w:rPr>
                <w:rFonts w:cs="Arial"/>
                <w:i/>
                <w:spacing w:val="-1"/>
                <w:szCs w:val="22"/>
              </w:rPr>
              <w:t xml:space="preserve">‘I find the sorting of publications into reports/responses/submissions </w:t>
            </w:r>
            <w:proofErr w:type="spellStart"/>
            <w:r w:rsidRPr="00C30B07">
              <w:rPr>
                <w:rFonts w:cs="Arial"/>
                <w:i/>
                <w:spacing w:val="-1"/>
                <w:szCs w:val="22"/>
              </w:rPr>
              <w:t>etc</w:t>
            </w:r>
            <w:proofErr w:type="spellEnd"/>
            <w:r w:rsidRPr="00C30B07">
              <w:rPr>
                <w:rFonts w:cs="Arial"/>
                <w:i/>
                <w:spacing w:val="-1"/>
                <w:szCs w:val="22"/>
              </w:rPr>
              <w:t xml:space="preserve"> unclear’</w:t>
            </w:r>
          </w:p>
        </w:tc>
      </w:tr>
      <w:tr w:rsidR="00C30B07" w:rsidRPr="00C30B07" w:rsidTr="00C30B07">
        <w:tc>
          <w:tcPr>
            <w:tcW w:w="9854" w:type="dxa"/>
          </w:tcPr>
          <w:p w:rsidR="00C30B07" w:rsidRPr="00C30B07" w:rsidRDefault="00C30B07" w:rsidP="00C30B07">
            <w:pPr>
              <w:keepLines/>
              <w:spacing w:before="60" w:after="60"/>
              <w:ind w:left="284"/>
              <w:rPr>
                <w:rFonts w:cs="Arial"/>
                <w:i/>
                <w:spacing w:val="-1"/>
                <w:szCs w:val="22"/>
              </w:rPr>
            </w:pPr>
            <w:r w:rsidRPr="00C30B07">
              <w:rPr>
                <w:rFonts w:cs="Arial"/>
                <w:i/>
                <w:spacing w:val="-1"/>
                <w:szCs w:val="22"/>
              </w:rPr>
              <w:t>‘Might be useful to be able to go to it directly, rather than via the APH website’</w:t>
            </w:r>
          </w:p>
        </w:tc>
      </w:tr>
    </w:tbl>
    <w:p w:rsidR="00C30B07" w:rsidRPr="00C30B07" w:rsidRDefault="00C30B07" w:rsidP="00C30B07">
      <w:pPr>
        <w:spacing w:before="120" w:after="114"/>
        <w:rPr>
          <w:rFonts w:eastAsia="Calibri"/>
          <w:spacing w:val="-1"/>
          <w:szCs w:val="22"/>
        </w:rPr>
      </w:pPr>
    </w:p>
    <w:sectPr w:rsidR="00C30B07" w:rsidRPr="00C30B07" w:rsidSect="00C30B07">
      <w:headerReference w:type="default" r:id="rId21"/>
      <w:footerReference w:type="default" r:id="rId22"/>
      <w:headerReference w:type="first" r:id="rId23"/>
      <w:footerReference w:type="first" r:id="rId24"/>
      <w:pgSz w:w="11906" w:h="16838" w:code="9"/>
      <w:pgMar w:top="1418" w:right="1418" w:bottom="1418"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B07" w:rsidRDefault="00C30B07" w:rsidP="00770BB2">
      <w:pPr>
        <w:spacing w:after="0"/>
      </w:pPr>
      <w:r>
        <w:separator/>
      </w:r>
    </w:p>
  </w:endnote>
  <w:endnote w:type="continuationSeparator" w:id="0">
    <w:p w:rsidR="00C30B07" w:rsidRDefault="00C30B07" w:rsidP="00770B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B07" w:rsidRPr="00201F77" w:rsidRDefault="00C30B07" w:rsidP="00201F77">
    <w:pPr>
      <w:pStyle w:val="Footer"/>
      <w:pBdr>
        <w:top w:val="single" w:sz="4" w:space="0" w:color="2B3B5F"/>
      </w:pBdr>
      <w:tabs>
        <w:tab w:val="clear" w:pos="9026"/>
        <w:tab w:val="right" w:pos="9498"/>
      </w:tabs>
      <w:rPr>
        <w:rFonts w:asciiTheme="minorHAnsi" w:hAnsiTheme="minorHAnsi"/>
        <w:sz w:val="18"/>
        <w:szCs w:val="18"/>
      </w:rPr>
    </w:pPr>
    <w:r w:rsidRPr="00F36BEB">
      <w:rPr>
        <w:rFonts w:asciiTheme="minorHAnsi" w:hAnsiTheme="minorHAnsi"/>
        <w:noProof/>
        <w:sz w:val="18"/>
        <w:szCs w:val="18"/>
        <w:lang w:eastAsia="en-AU"/>
      </w:rPr>
      <mc:AlternateContent>
        <mc:Choice Requires="wps">
          <w:drawing>
            <wp:anchor distT="0" distB="0" distL="114300" distR="114300" simplePos="0" relativeHeight="251668480" behindDoc="0" locked="0" layoutInCell="1" allowOverlap="1" wp14:anchorId="020C40D0" wp14:editId="2B1F2DBA">
              <wp:simplePos x="0" y="0"/>
              <wp:positionH relativeFrom="column">
                <wp:posOffset>4523196</wp:posOffset>
              </wp:positionH>
              <wp:positionV relativeFrom="paragraph">
                <wp:posOffset>-40005</wp:posOffset>
              </wp:positionV>
              <wp:extent cx="1323975" cy="29527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239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B07" w:rsidRPr="00F36BEB" w:rsidRDefault="00C30B07" w:rsidP="005C2F9E">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5A318B">
                            <w:rPr>
                              <w:rFonts w:asciiTheme="minorHAnsi" w:hAnsiTheme="minorHAnsi"/>
                              <w:bCs/>
                              <w:noProof/>
                              <w:sz w:val="18"/>
                              <w:szCs w:val="18"/>
                            </w:rPr>
                            <w:t>2</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Pr>
                              <w:rFonts w:asciiTheme="minorHAnsi" w:hAnsiTheme="minorHAnsi"/>
                              <w:b/>
                              <w:bCs/>
                              <w:sz w:val="18"/>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56.15pt;margin-top:-3.15pt;width:104.25pt;height:23.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WfAIAAGIFAAAOAAAAZHJzL2Uyb0RvYy54bWysVN9P2zAQfp+0/8Hy+0hbKNCKFHUgpkkI&#10;0GDi2XVsGs32efa1SffX7+wkpWJ7YdpLcvZ99/l+X1y21rCtCrEGV/Lx0Ygz5SRUtXsp+fenm0/n&#10;nEUUrhIGnCr5TkV+ufj44aLxczWBNZhKBUYkLs4bX/I1op8XRZRrZUU8Aq8cKTUEK5CO4aWogmiI&#10;3ZpiMhqdFg2EygeQKka6ve6UfJH5tVYS77WOCpkpOfmG+Rvyd5W+xeJCzF+C8Ota9m6If/DCitrR&#10;o3uqa4GCbUL9B5WtZYAIGo8k2AK0rqXKMVA049GbaB7XwqscCyUn+n2a4v+jlXfbh8DqquRUKCcs&#10;lehJtcg+Q8vOU3YaH+cEevQEw5auqcrDfaTLFHSrg01/CoeRnvK82+c2kclkdDw5np1NOZOkm8ym&#10;E5KJvni19iHiFwWWJaHkgWqXUyq2txE76ABJjzm4qY3J9TOONSU/PZ6OssFeQ+TGJazKndDTpIg6&#10;z7OEO6MSxrhvSlMmcgDpIvegujKBbQV1j5BSOcyxZ15CJ5QmJ95j2ONfvXqPcRfH8DI43Bvb2kHI&#10;0b9xu/oxuKw7POX8IO4kYrtq+0qvoNpRoQN0gxK9vKmpGrci4oMINBlUW5p2vKePNkBZh17ibA3h&#10;19/uE54alrScNTRpJY8/NyIozsxXR608G5+cpNHMh5Pp2YQO4VCzOtS4jb0CKseY9oqXWUx4NIOo&#10;A9hnWgrL9CqphJP0dslxEK+wm39aKlItlxlEw+gF3rpHLxN1qk7qtaf2WQTfNyRSK9/BMJNi/qYv&#10;O2yydLDcIOg6N21KcJfVPvE0yLnt+6WTNsXhOaNeV+PiNwAAAP//AwBQSwMEFAAGAAgAAAAhAHDJ&#10;LarhAAAACQEAAA8AAABkcnMvZG93bnJldi54bWxMj8FOwzAMhu9IvENkJG5bsgBj65pOU6UJCcFh&#10;YxduaZO1FYlTmmwrPD3mBCfL8qff35+vR+/Y2Q6xC6hgNhXALNbBdNgoOLxtJwtgMWk02gW0Cr5s&#10;hHVxfZXrzIQL7ux5nxpGIRgzraBNqc84j3VrvY7T0Fuk2zEMXidah4abQV8o3DsuhZhzrzukD63u&#10;bdna+mN/8gqey+2r3lXSL75d+fRy3PSfh/cHpW5vxs0KWLJj+oPhV5/UoSCnKpzQROYUPM7kHaEK&#10;JnOaBCyloC6VgnshgRc5/9+g+AEAAP//AwBQSwECLQAUAAYACAAAACEAtoM4kv4AAADhAQAAEwAA&#10;AAAAAAAAAAAAAAAAAAAAW0NvbnRlbnRfVHlwZXNdLnhtbFBLAQItABQABgAIAAAAIQA4/SH/1gAA&#10;AJQBAAALAAAAAAAAAAAAAAAAAC8BAABfcmVscy8ucmVsc1BLAQItABQABgAIAAAAIQBCpM/WfAIA&#10;AGIFAAAOAAAAAAAAAAAAAAAAAC4CAABkcnMvZTJvRG9jLnhtbFBLAQItABQABgAIAAAAIQBwyS2q&#10;4QAAAAkBAAAPAAAAAAAAAAAAAAAAANYEAABkcnMvZG93bnJldi54bWxQSwUGAAAAAAQABADzAAAA&#10;5AUAAAAA&#10;" filled="f" stroked="f" strokeweight=".5pt">
              <v:textbox>
                <w:txbxContent>
                  <w:p w:rsidR="00C30B07" w:rsidRPr="00F36BEB" w:rsidRDefault="00C30B07" w:rsidP="005C2F9E">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5A318B">
                      <w:rPr>
                        <w:rFonts w:asciiTheme="minorHAnsi" w:hAnsiTheme="minorHAnsi"/>
                        <w:bCs/>
                        <w:noProof/>
                        <w:sz w:val="18"/>
                        <w:szCs w:val="18"/>
                      </w:rPr>
                      <w:t>2</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Pr>
                        <w:rFonts w:asciiTheme="minorHAnsi" w:hAnsiTheme="minorHAnsi"/>
                        <w:b/>
                        <w:bCs/>
                        <w:sz w:val="18"/>
                        <w:szCs w:val="18"/>
                      </w:rPr>
                      <w:t>9</w:t>
                    </w:r>
                  </w:p>
                </w:txbxContent>
              </v:textbox>
            </v:shape>
          </w:pict>
        </mc:Fallback>
      </mc:AlternateContent>
    </w:r>
    <w:r>
      <w:rPr>
        <w:rFonts w:asciiTheme="minorHAnsi" w:hAnsiTheme="minorHAnsi"/>
        <w:sz w:val="18"/>
        <w:szCs w:val="18"/>
      </w:rPr>
      <w:t>PBO activity report – 17 May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B07" w:rsidRPr="00F36BEB" w:rsidRDefault="00C30B07" w:rsidP="000E3775">
    <w:pPr>
      <w:pStyle w:val="Footer"/>
      <w:pBdr>
        <w:top w:val="single" w:sz="4" w:space="1" w:color="2B3B5F"/>
      </w:pBdr>
      <w:tabs>
        <w:tab w:val="clear" w:pos="9026"/>
        <w:tab w:val="right" w:pos="9498"/>
      </w:tabs>
      <w:rPr>
        <w:rFonts w:asciiTheme="minorHAnsi" w:hAnsiTheme="minorHAnsi"/>
        <w:sz w:val="18"/>
        <w:szCs w:val="18"/>
      </w:rPr>
    </w:pPr>
    <w:r w:rsidRPr="00F36BEB">
      <w:rPr>
        <w:rFonts w:asciiTheme="minorHAnsi" w:hAnsiTheme="minorHAnsi"/>
        <w:noProof/>
        <w:sz w:val="18"/>
        <w:szCs w:val="18"/>
        <w:lang w:eastAsia="en-AU"/>
      </w:rPr>
      <mc:AlternateContent>
        <mc:Choice Requires="wps">
          <w:drawing>
            <wp:anchor distT="0" distB="0" distL="114300" distR="114300" simplePos="0" relativeHeight="251667456" behindDoc="0" locked="0" layoutInCell="1" allowOverlap="1" wp14:anchorId="6629FAF5" wp14:editId="738D774C">
              <wp:simplePos x="0" y="0"/>
              <wp:positionH relativeFrom="column">
                <wp:posOffset>7649936</wp:posOffset>
              </wp:positionH>
              <wp:positionV relativeFrom="paragraph">
                <wp:posOffset>-40005</wp:posOffset>
              </wp:positionV>
              <wp:extent cx="1323975" cy="2952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3239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B07" w:rsidRPr="00F36BEB" w:rsidRDefault="00C30B07" w:rsidP="00DB4D34">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5A318B">
                            <w:rPr>
                              <w:rFonts w:asciiTheme="minorHAnsi" w:hAnsiTheme="minorHAnsi"/>
                              <w:bCs/>
                              <w:noProof/>
                              <w:sz w:val="18"/>
                              <w:szCs w:val="18"/>
                            </w:rPr>
                            <w:t>7</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Pr>
                              <w:rFonts w:asciiTheme="minorHAnsi" w:hAnsiTheme="minorHAnsi"/>
                              <w:b/>
                              <w:bCs/>
                              <w:sz w:val="18"/>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602.35pt;margin-top:-3.15pt;width:104.25pt;height:23.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2RvfwIAAGsFAAAOAAAAZHJzL2Uyb0RvYy54bWysVE1PGzEQvVfqf7B8L5sEQkvEBqUgqkoI&#10;UKHi7HhtsqrX49pOsumv77N3N0S0F6pedsczb8bz8cbnF21j2Eb5UJMt+fhoxJmykqraPpf8++P1&#10;h0+chShsJQxZVfKdCvxi/v7d+dbN1IRWZCrlGYLYMNu6kq9idLOiCHKlGhGOyCkLoybfiIijfy4q&#10;L7aI3phiMhqdFlvylfMkVQjQXnVGPs/xtVYy3mkdVGSm5Mgt5q/P32X6FvNzMXv2wq1q2ach/iGL&#10;RtQWl+5DXYko2NrXf4RqaukpkI5HkpqCtK6lyjWgmvHoVTUPK+FUrgXNCW7fpvD/wsrbzb1ndYXZ&#10;jTmzosGMHlUb2WdqGVToz9aFGWAPDsDYQg/soA9QprJb7Zv0R0EMdnR6t+9uiiaT0/Hk+OzjlDMJ&#10;2+RsOoGM8MWLt/MhflHUsCSU3GN6ualicxNiBx0g6TJL17UxeYLGsm3JT4+no+ywtyC4sQmrMhf6&#10;MKmiLvMsxZ1RCWPsN6XRi1xAUmQWqkvj2UaAP0JKZWOuPccFOqE0kniLY49/yeotzl0dw81k4965&#10;qS35XP2rtKsfQ8q6w6PnB3UnMbbLtiPBMNglVTvM21O3McHJ6xpDuREh3guPFcGIsfbxDh9tCM2n&#10;XuJsRf7X3/QJD+bCytkWK1fy8HMtvOLMfLXg9Nn45CTtaD6cTD9OcPCHluWhxa6bS8JUQFtkl8WE&#10;j2YQtafmCa/DIt0Kk7ASd5c8DuJl7B4CvC5SLRYZhK10It7YBydT6DSkRLnH9kl41/MygtG3NCyn&#10;mL2iZ4dNnpYW60i6ztxNfe662vcfG53Z378+6ck4PGfUyxs5/w0AAP//AwBQSwMEFAAGAAgAAAAh&#10;AM4EJrfiAAAACwEAAA8AAABkcnMvZG93bnJldi54bWxMj8FuwjAQRO+V+g/WVuoNbExKUYiDUCRU&#10;qWoPUC7cNvGSRI3tNDaQ9utrTu1xtE8zb7P1aDp2ocG3ziqYTQUwspXTra0VHD62kyUwH9Bq7Jwl&#10;Bd/kYZ3f32WYane1O7rsQ81iifUpKmhC6FPOfdWQQT91Pdl4O7nBYIhxqLke8BrLTcelEAtusLVx&#10;ocGeioaqz/3ZKHgttu+4K6VZ/nTFy9tp038djk9KPT6MmxWwQGP4g+GmH9Uhj06lO1vtWRezFMlz&#10;ZBVMFnNgNyKZzSWwUkEiJPA84/9/yH8BAAD//wMAUEsBAi0AFAAGAAgAAAAhALaDOJL+AAAA4QEA&#10;ABMAAAAAAAAAAAAAAAAAAAAAAFtDb250ZW50X1R5cGVzXS54bWxQSwECLQAUAAYACAAAACEAOP0h&#10;/9YAAACUAQAACwAAAAAAAAAAAAAAAAAvAQAAX3JlbHMvLnJlbHNQSwECLQAUAAYACAAAACEAdANk&#10;b38CAABrBQAADgAAAAAAAAAAAAAAAAAuAgAAZHJzL2Uyb0RvYy54bWxQSwECLQAUAAYACAAAACEA&#10;zgQmt+IAAAALAQAADwAAAAAAAAAAAAAAAADZBAAAZHJzL2Rvd25yZXYueG1sUEsFBgAAAAAEAAQA&#10;8wAAAOgFAAAAAA==&#10;" filled="f" stroked="f" strokeweight=".5pt">
              <v:textbox>
                <w:txbxContent>
                  <w:p w:rsidR="00C30B07" w:rsidRPr="00F36BEB" w:rsidRDefault="00C30B07" w:rsidP="00DB4D34">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5A318B">
                      <w:rPr>
                        <w:rFonts w:asciiTheme="minorHAnsi" w:hAnsiTheme="minorHAnsi"/>
                        <w:bCs/>
                        <w:noProof/>
                        <w:sz w:val="18"/>
                        <w:szCs w:val="18"/>
                      </w:rPr>
                      <w:t>7</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Pr>
                        <w:rFonts w:asciiTheme="minorHAnsi" w:hAnsiTheme="minorHAnsi"/>
                        <w:b/>
                        <w:bCs/>
                        <w:sz w:val="18"/>
                        <w:szCs w:val="18"/>
                      </w:rPr>
                      <w:t>9</w:t>
                    </w:r>
                  </w:p>
                </w:txbxContent>
              </v:textbox>
            </v:shape>
          </w:pict>
        </mc:Fallback>
      </mc:AlternateContent>
    </w:r>
    <w:r>
      <w:rPr>
        <w:rFonts w:asciiTheme="minorHAnsi" w:hAnsiTheme="minorHAnsi"/>
        <w:sz w:val="18"/>
        <w:szCs w:val="18"/>
      </w:rPr>
      <w:t>PBO activity report – 17 May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B07" w:rsidRPr="00C30B07" w:rsidRDefault="00C30B07" w:rsidP="00C30B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b/>
        <w:sz w:val="18"/>
        <w:szCs w:val="22"/>
      </w:rPr>
      <w:id w:val="362949167"/>
      <w:docPartObj>
        <w:docPartGallery w:val="Page Numbers (Bottom of Page)"/>
        <w:docPartUnique/>
      </w:docPartObj>
    </w:sdtPr>
    <w:sdtEndPr>
      <w:rPr>
        <w:b w:val="0"/>
      </w:rPr>
    </w:sdtEndPr>
    <w:sdtContent>
      <w:sdt>
        <w:sdtPr>
          <w:rPr>
            <w:rFonts w:eastAsia="Calibri"/>
            <w:sz w:val="18"/>
            <w:szCs w:val="22"/>
          </w:rPr>
          <w:id w:val="-1669238322"/>
          <w:docPartObj>
            <w:docPartGallery w:val="Page Numbers (Top of Page)"/>
            <w:docPartUnique/>
          </w:docPartObj>
        </w:sdtPr>
        <w:sdtContent>
          <w:p w:rsidR="00C30B07" w:rsidRPr="00C30B07" w:rsidRDefault="00C30B07" w:rsidP="00C30B07">
            <w:pPr>
              <w:spacing w:after="0"/>
              <w:jc w:val="center"/>
              <w:rPr>
                <w:rFonts w:eastAsia="Calibri"/>
                <w:sz w:val="18"/>
                <w:szCs w:val="22"/>
              </w:rPr>
            </w:pPr>
            <w:r w:rsidRPr="00C30B07">
              <w:rPr>
                <w:rFonts w:eastAsia="Calibri"/>
                <w:sz w:val="18"/>
                <w:szCs w:val="22"/>
              </w:rPr>
              <w:t xml:space="preserve">Page </w:t>
            </w:r>
            <w:r w:rsidRPr="00C30B07">
              <w:rPr>
                <w:rFonts w:eastAsia="Calibri"/>
                <w:bCs/>
                <w:sz w:val="24"/>
              </w:rPr>
              <w:fldChar w:fldCharType="begin"/>
            </w:r>
            <w:r w:rsidRPr="00C30B07">
              <w:rPr>
                <w:rFonts w:eastAsia="Calibri"/>
                <w:bCs/>
                <w:sz w:val="18"/>
                <w:szCs w:val="22"/>
              </w:rPr>
              <w:instrText xml:space="preserve"> PAGE </w:instrText>
            </w:r>
            <w:r w:rsidRPr="00C30B07">
              <w:rPr>
                <w:rFonts w:eastAsia="Calibri"/>
                <w:bCs/>
                <w:sz w:val="24"/>
              </w:rPr>
              <w:fldChar w:fldCharType="separate"/>
            </w:r>
            <w:r w:rsidR="005A318B">
              <w:rPr>
                <w:rFonts w:eastAsia="Calibri"/>
                <w:bCs/>
                <w:noProof/>
                <w:sz w:val="18"/>
                <w:szCs w:val="22"/>
              </w:rPr>
              <w:t>2</w:t>
            </w:r>
            <w:r w:rsidRPr="00C30B07">
              <w:rPr>
                <w:rFonts w:eastAsia="Calibri"/>
                <w:bCs/>
                <w:sz w:val="24"/>
              </w:rPr>
              <w:fldChar w:fldCharType="end"/>
            </w:r>
            <w:r w:rsidRPr="00C30B07">
              <w:rPr>
                <w:rFonts w:eastAsia="Calibri"/>
                <w:sz w:val="18"/>
                <w:szCs w:val="22"/>
              </w:rPr>
              <w:t xml:space="preserve"> of </w:t>
            </w:r>
            <w:r>
              <w:rPr>
                <w:rFonts w:eastAsia="Calibri"/>
                <w:sz w:val="18"/>
                <w:szCs w:val="22"/>
              </w:rPr>
              <w:t>6</w:t>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B07" w:rsidRDefault="00C30B07" w:rsidP="00C30B07">
    <w:pPr>
      <w:pStyle w:val="Footer"/>
      <w:pBdr>
        <w:top w:val="single" w:sz="4" w:space="1" w:color="auto"/>
      </w:pBdr>
    </w:pPr>
    <w:r>
      <w:rPr>
        <w:noProof/>
        <w:lang w:eastAsia="en-AU"/>
      </w:rPr>
      <mc:AlternateContent>
        <mc:Choice Requires="wps">
          <w:drawing>
            <wp:anchor distT="0" distB="0" distL="114300" distR="114300" simplePos="0" relativeHeight="251670528" behindDoc="0" locked="0" layoutInCell="1" allowOverlap="1" wp14:anchorId="65816E1B" wp14:editId="3169F3DA">
              <wp:simplePos x="0" y="0"/>
              <wp:positionH relativeFrom="column">
                <wp:posOffset>4570871</wp:posOffset>
              </wp:positionH>
              <wp:positionV relativeFrom="paragraph">
                <wp:posOffset>-31750</wp:posOffset>
              </wp:positionV>
              <wp:extent cx="800452" cy="338667"/>
              <wp:effectExtent l="0" t="0" r="0" b="4445"/>
              <wp:wrapNone/>
              <wp:docPr id="25" name="Text Box 25"/>
              <wp:cNvGraphicFramePr/>
              <a:graphic xmlns:a="http://schemas.openxmlformats.org/drawingml/2006/main">
                <a:graphicData uri="http://schemas.microsoft.com/office/word/2010/wordprocessingShape">
                  <wps:wsp>
                    <wps:cNvSpPr txBox="1"/>
                    <wps:spPr>
                      <a:xfrm>
                        <a:off x="0" y="0"/>
                        <a:ext cx="800452" cy="338667"/>
                      </a:xfrm>
                      <a:prstGeom prst="rect">
                        <a:avLst/>
                      </a:prstGeom>
                      <a:noFill/>
                      <a:ln w="6350">
                        <a:noFill/>
                      </a:ln>
                      <a:effectLst/>
                    </wps:spPr>
                    <wps:txbx>
                      <w:txbxContent>
                        <w:p w:rsidR="00C30B07" w:rsidRDefault="00C30B07" w:rsidP="00C30B07">
                          <w:pPr>
                            <w:pStyle w:val="FooterRight"/>
                            <w:spacing w:before="0" w:after="114"/>
                            <w:ind w:left="0" w:right="0"/>
                          </w:pPr>
                          <w:sdt>
                            <w:sdtPr>
                              <w:id w:val="-1843229468"/>
                              <w:docPartObj>
                                <w:docPartGallery w:val="Page Numbers (Bottom of Page)"/>
                                <w:docPartUnique/>
                              </w:docPartObj>
                            </w:sdtPr>
                            <w:sdtContent>
                              <w:sdt>
                                <w:sdtPr>
                                  <w:id w:val="-1869595672"/>
                                  <w:docPartObj>
                                    <w:docPartGallery w:val="Page Numbers (Top of Page)"/>
                                    <w:docPartUnique/>
                                  </w:docPartObj>
                                </w:sdtPr>
                                <w:sdtContent>
                                  <w:r>
                                    <w:t xml:space="preserve">Page </w:t>
                                  </w:r>
                                  <w:r>
                                    <w:rPr>
                                      <w:sz w:val="24"/>
                                      <w:szCs w:val="24"/>
                                    </w:rPr>
                                    <w:fldChar w:fldCharType="begin"/>
                                  </w:r>
                                  <w:r>
                                    <w:instrText xml:space="preserve"> PAGE </w:instrText>
                                  </w:r>
                                  <w:r>
                                    <w:rPr>
                                      <w:sz w:val="24"/>
                                      <w:szCs w:val="24"/>
                                    </w:rPr>
                                    <w:fldChar w:fldCharType="separate"/>
                                  </w:r>
                                  <w:r>
                                    <w:rPr>
                                      <w:noProof/>
                                    </w:rPr>
                                    <w:t>6</w:t>
                                  </w:r>
                                  <w:r>
                                    <w:rPr>
                                      <w:sz w:val="24"/>
                                      <w:szCs w:val="24"/>
                                    </w:rPr>
                                    <w:fldChar w:fldCharType="end"/>
                                  </w:r>
                                  <w:r>
                                    <w:t xml:space="preserve"> of </w:t>
                                  </w:r>
                                  <w:fldSimple w:instr=" NUMPAGES  ">
                                    <w:r>
                                      <w:rPr>
                                        <w:noProof/>
                                      </w:rPr>
                                      <w:t>1</w:t>
                                    </w:r>
                                  </w:fldSimple>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margin-left:359.9pt;margin-top:-2.5pt;width:63.05pt;height:2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DxNQIAAGcEAAAOAAAAZHJzL2Uyb0RvYy54bWysVE2P2jAQvVfqf7B8Lwmfy0aEFd0VVSW0&#10;uxJUezaOTSLFHtc2JPTXd+wQFm17qnox85Vnz3szLB5aVZOTsK4CndPhIKVEaA5FpQ85/bFbf5lT&#10;4jzTBatBi5yehaMPy8+fFo3JxAhKqAthCYJolzUmp6X3JksSx0uhmBuAERqTEqxiHl17SArLGkRX&#10;dTJK01nSgC2MBS6cw+hTl6TLiC+l4P5FSic8qXOKb/PxtPHchzNZLlh2sMyUFb88g/3DKxSrNF56&#10;hXpinpGjrf6AUhW34ED6AQeVgJQVF7EH7GaYfuhmWzIjYi9IjjNXmtz/g+XPp1dLqiKnoyklminU&#10;aCdaT75CSzCE/DTGZVi2NVjoW4yjzn3cYTC03Uqrwi82RDCPTJ+v7AY0jsF5mk6mI0o4psbj+Wx2&#10;F1CS94+Ndf6bAEWCkVOL4kVO2WnjfFfal4S7NKyruo4C1po0OZ2Np2n84JpB8FqHWhFH4QITGuoe&#10;Hizf7tuOgL6pPRRn7NVCNy3O8HWFL9ow51+ZxfHA9nDk/Qsesga8GS4WJSXYX3+Lh3pUDbOUNDhu&#10;OXU/j8wKSurvGvW8H04mYT6jM5nejdCxt5n9bUYf1SPgRA9xuQyPZqj3dW9KC+oNN2MVbsUU0xzv&#10;zqnvzUffLQFuFherVSzCiTTMb/TW8AAdeAt879o3Zs1FFI9qPkM/mCz7oE1X26mzOnqQVRQu8Nyx&#10;ioIHB6c5Sn/ZvLAut36sev9/WP4GAAD//wMAUEsDBBQABgAIAAAAIQB4WB/N4gAAAAkBAAAPAAAA&#10;ZHJzL2Rvd25yZXYueG1sTI9BT8JAFITvJv6HzTPxBluQaql9JaQJMTF6ALl423aXtrH7tnYXqPx6&#10;Hyc9TmYy8022Gm0nTmbwrSOE2TQCYahyuqUaYf+xmSQgfFCkVefIIPwYD6v89iZTqXZn2prTLtSC&#10;S8inCqEJoU+l9FVjrPJT1xti7+AGqwLLoZZ6UGcut52cR9GjtKolXmhUb4rGVF+7o0V4LTbvalvO&#10;bXLpipe3w7r/3n/GiPd34/oZRDBj+AvDFZ/RIWem0h1Je9EhPM2WjB4QJjF/4kCyiJcgSoRF8gAy&#10;z+T/B/kvAAAA//8DAFBLAQItABQABgAIAAAAIQC2gziS/gAAAOEBAAATAAAAAAAAAAAAAAAAAAAA&#10;AABbQ29udGVudF9UeXBlc10ueG1sUEsBAi0AFAAGAAgAAAAhADj9If/WAAAAlAEAAAsAAAAAAAAA&#10;AAAAAAAALwEAAF9yZWxzLy5yZWxzUEsBAi0AFAAGAAgAAAAhAMUqEPE1AgAAZwQAAA4AAAAAAAAA&#10;AAAAAAAALgIAAGRycy9lMm9Eb2MueG1sUEsBAi0AFAAGAAgAAAAhAHhYH83iAAAACQEAAA8AAAAA&#10;AAAAAAAAAAAAjwQAAGRycy9kb3ducmV2LnhtbFBLBQYAAAAABAAEAPMAAACeBQAAAAA=&#10;" filled="f" stroked="f" strokeweight=".5pt">
              <v:textbox>
                <w:txbxContent>
                  <w:p w:rsidR="00C30B07" w:rsidRDefault="00C30B07" w:rsidP="00C30B07">
                    <w:pPr>
                      <w:pStyle w:val="FooterRight"/>
                      <w:spacing w:before="0" w:after="114"/>
                      <w:ind w:left="0" w:right="0"/>
                    </w:pPr>
                    <w:sdt>
                      <w:sdtPr>
                        <w:id w:val="-1843229468"/>
                        <w:docPartObj>
                          <w:docPartGallery w:val="Page Numbers (Bottom of Page)"/>
                          <w:docPartUnique/>
                        </w:docPartObj>
                      </w:sdtPr>
                      <w:sdtContent>
                        <w:sdt>
                          <w:sdtPr>
                            <w:id w:val="-1869595672"/>
                            <w:docPartObj>
                              <w:docPartGallery w:val="Page Numbers (Top of Page)"/>
                              <w:docPartUnique/>
                            </w:docPartObj>
                          </w:sdtPr>
                          <w:sdtContent>
                            <w:r>
                              <w:t xml:space="preserve">Page </w:t>
                            </w:r>
                            <w:r>
                              <w:rPr>
                                <w:sz w:val="24"/>
                                <w:szCs w:val="24"/>
                              </w:rPr>
                              <w:fldChar w:fldCharType="begin"/>
                            </w:r>
                            <w:r>
                              <w:instrText xml:space="preserve"> PAGE </w:instrText>
                            </w:r>
                            <w:r>
                              <w:rPr>
                                <w:sz w:val="24"/>
                                <w:szCs w:val="24"/>
                              </w:rPr>
                              <w:fldChar w:fldCharType="separate"/>
                            </w:r>
                            <w:r>
                              <w:rPr>
                                <w:noProof/>
                              </w:rPr>
                              <w:t>6</w:t>
                            </w:r>
                            <w:r>
                              <w:rPr>
                                <w:sz w:val="24"/>
                                <w:szCs w:val="24"/>
                              </w:rPr>
                              <w:fldChar w:fldCharType="end"/>
                            </w:r>
                            <w:r>
                              <w:t xml:space="preserve"> of </w:t>
                            </w:r>
                            <w:fldSimple w:instr=" NUMPAGES  ">
                              <w:r>
                                <w:rPr>
                                  <w:noProof/>
                                </w:rPr>
                                <w:t>1</w:t>
                              </w:r>
                            </w:fldSimple>
                          </w:sdtContent>
                        </w:sdt>
                      </w:sdtContent>
                    </w:sdt>
                  </w:p>
                </w:txbxContent>
              </v:textbox>
            </v:shape>
          </w:pict>
        </mc:Fallback>
      </mc:AlternateContent>
    </w:r>
    <w:r>
      <w:t>Version # - Month YYYY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B07" w:rsidRDefault="00C30B07" w:rsidP="00770BB2">
      <w:pPr>
        <w:spacing w:after="0"/>
      </w:pPr>
      <w:r>
        <w:separator/>
      </w:r>
    </w:p>
  </w:footnote>
  <w:footnote w:type="continuationSeparator" w:id="0">
    <w:p w:rsidR="00C30B07" w:rsidRDefault="00C30B07" w:rsidP="00770B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B07" w:rsidRPr="005A318B" w:rsidRDefault="005A318B" w:rsidP="00C30B07">
    <w:pPr>
      <w:pStyle w:val="Header"/>
      <w:jc w:val="right"/>
      <w:rPr>
        <w:rFonts w:ascii="Georgia" w:hAnsi="Georgia"/>
        <w:color w:val="1F497D" w:themeColor="text2"/>
        <w:sz w:val="36"/>
        <w:szCs w:val="36"/>
      </w:rPr>
    </w:pPr>
    <w:r w:rsidRPr="005A318B">
      <w:rPr>
        <w:rFonts w:ascii="Georgia" w:hAnsi="Georgia"/>
        <w:color w:val="1F497D" w:themeColor="text2"/>
        <w:sz w:val="36"/>
        <w:szCs w:val="36"/>
      </w:rPr>
      <w:t>Attachment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18B" w:rsidRPr="005A318B" w:rsidRDefault="005A318B" w:rsidP="005A31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B07" w:rsidRDefault="00C30B07" w:rsidP="00C30B07">
    <w:pPr>
      <w:pStyle w:val="Header"/>
      <w:pBdr>
        <w:bottom w:val="single" w:sz="4" w:space="1" w:color="auto"/>
      </w:pBdr>
    </w:pPr>
    <w:r>
      <w:t>Policy subtitle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044"/>
    <w:multiLevelType w:val="hybridMultilevel"/>
    <w:tmpl w:val="7FA683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4AD0F4B"/>
    <w:multiLevelType w:val="hybridMultilevel"/>
    <w:tmpl w:val="B9D80358"/>
    <w:lvl w:ilvl="0" w:tplc="464E7A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3C4A01"/>
    <w:multiLevelType w:val="hybridMultilevel"/>
    <w:tmpl w:val="26D41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8B37FE"/>
    <w:multiLevelType w:val="multilevel"/>
    <w:tmpl w:val="7A8823A8"/>
    <w:name w:val="Bullets"/>
    <w:lvl w:ilvl="0">
      <w:start w:val="1"/>
      <w:numFmt w:val="bullet"/>
      <w:pStyle w:val="ListBullet"/>
      <w:lvlText w:val=""/>
      <w:lvlJc w:val="left"/>
      <w:pPr>
        <w:ind w:left="360" w:hanging="360"/>
      </w:pPr>
      <w:rPr>
        <w:rFonts w:ascii="Symbol" w:hAnsi="Symbol" w:hint="default"/>
        <w:b w:val="0"/>
        <w:i w:val="0"/>
        <w:color w:val="auto"/>
        <w:position w:val="0"/>
        <w:sz w:val="28"/>
        <w:szCs w:val="28"/>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8"/>
        <w:szCs w:val="28"/>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ind w:left="-32767" w:firstLine="0"/>
      </w:pPr>
    </w:lvl>
    <w:lvl w:ilvl="4">
      <w:start w:val="1"/>
      <w:numFmt w:val="none"/>
      <w:lvlText w:val=""/>
      <w:lvlJc w:val="left"/>
      <w:pPr>
        <w:ind w:left="-32767" w:firstLine="0"/>
      </w:pPr>
    </w:lvl>
    <w:lvl w:ilvl="5">
      <w:start w:val="1"/>
      <w:numFmt w:val="none"/>
      <w:lvlText w:val=""/>
      <w:lvlJc w:val="left"/>
      <w:pPr>
        <w:ind w:left="-32767"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4">
    <w:nsid w:val="0D373578"/>
    <w:multiLevelType w:val="multilevel"/>
    <w:tmpl w:val="03F415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365B39"/>
    <w:multiLevelType w:val="hybridMultilevel"/>
    <w:tmpl w:val="D816488E"/>
    <w:lvl w:ilvl="0" w:tplc="0C090001">
      <w:start w:val="1"/>
      <w:numFmt w:val="bullet"/>
      <w:lvlText w:val=""/>
      <w:lvlJc w:val="left"/>
      <w:pPr>
        <w:ind w:left="720" w:hanging="360"/>
      </w:pPr>
      <w:rPr>
        <w:rFonts w:ascii="Symbol" w:hAnsi="Symbol" w:hint="default"/>
      </w:rPr>
    </w:lvl>
    <w:lvl w:ilvl="1" w:tplc="F0EC0CE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8938BF"/>
    <w:multiLevelType w:val="hybridMultilevel"/>
    <w:tmpl w:val="4956EF72"/>
    <w:lvl w:ilvl="0" w:tplc="7E1210E8">
      <w:start w:val="1"/>
      <w:numFmt w:val="decimal"/>
      <w:lvlText w:val="%1"/>
      <w:lvlJc w:val="left"/>
      <w:pPr>
        <w:ind w:left="720" w:hanging="36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0B8246B"/>
    <w:multiLevelType w:val="hybridMultilevel"/>
    <w:tmpl w:val="A4E2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3AE23CB"/>
    <w:multiLevelType w:val="hybridMultilevel"/>
    <w:tmpl w:val="DF5A2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F5D673B"/>
    <w:multiLevelType w:val="hybridMultilevel"/>
    <w:tmpl w:val="16D06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3D71B2F"/>
    <w:multiLevelType w:val="hybridMultilevel"/>
    <w:tmpl w:val="3B604376"/>
    <w:lvl w:ilvl="0" w:tplc="0C090001">
      <w:start w:val="1"/>
      <w:numFmt w:val="bullet"/>
      <w:lvlText w:val=""/>
      <w:lvlJc w:val="left"/>
      <w:pPr>
        <w:ind w:left="360" w:hanging="360"/>
      </w:pPr>
      <w:rPr>
        <w:rFonts w:ascii="Symbol" w:hAnsi="Symbol" w:hint="default"/>
      </w:rPr>
    </w:lvl>
    <w:lvl w:ilvl="1" w:tplc="0896D49E">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7DD0D83"/>
    <w:multiLevelType w:val="hybridMultilevel"/>
    <w:tmpl w:val="33084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9794724"/>
    <w:multiLevelType w:val="hybridMultilevel"/>
    <w:tmpl w:val="D1CAB3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A4008AA"/>
    <w:multiLevelType w:val="hybridMultilevel"/>
    <w:tmpl w:val="063C8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EE713F5"/>
    <w:multiLevelType w:val="hybridMultilevel"/>
    <w:tmpl w:val="8F02B96C"/>
    <w:lvl w:ilvl="0" w:tplc="16AAD490">
      <w:start w:val="1"/>
      <w:numFmt w:val="lowerLetter"/>
      <w:lvlText w:val="%1"/>
      <w:lvlJc w:val="left"/>
      <w:pPr>
        <w:ind w:left="862" w:hanging="360"/>
      </w:pPr>
      <w:rPr>
        <w:rFonts w:hint="default"/>
        <w:sz w:val="16"/>
        <w:szCs w:val="16"/>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2F8A7F94"/>
    <w:multiLevelType w:val="hybridMultilevel"/>
    <w:tmpl w:val="863C5212"/>
    <w:lvl w:ilvl="0" w:tplc="57B40530">
      <w:start w:val="18"/>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7">
    <w:nsid w:val="3F212745"/>
    <w:multiLevelType w:val="hybridMultilevel"/>
    <w:tmpl w:val="4716A98A"/>
    <w:lvl w:ilvl="0" w:tplc="4A0617C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46765074"/>
    <w:multiLevelType w:val="hybridMultilevel"/>
    <w:tmpl w:val="91143FAA"/>
    <w:lvl w:ilvl="0" w:tplc="0C09001B">
      <w:start w:val="1"/>
      <w:numFmt w:val="lowerRoman"/>
      <w:lvlText w:val="%1."/>
      <w:lvlJc w:val="right"/>
      <w:pPr>
        <w:ind w:left="862" w:hanging="360"/>
      </w:pPr>
      <w:rPr>
        <w:rFonts w:hint="default"/>
        <w:sz w:val="16"/>
        <w:szCs w:val="16"/>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9">
    <w:nsid w:val="46934B06"/>
    <w:multiLevelType w:val="hybridMultilevel"/>
    <w:tmpl w:val="8F02B96C"/>
    <w:lvl w:ilvl="0" w:tplc="16AAD490">
      <w:start w:val="1"/>
      <w:numFmt w:val="lowerLetter"/>
      <w:lvlText w:val="%1"/>
      <w:lvlJc w:val="left"/>
      <w:pPr>
        <w:ind w:left="862" w:hanging="360"/>
      </w:pPr>
      <w:rPr>
        <w:rFonts w:hint="default"/>
        <w:sz w:val="16"/>
        <w:szCs w:val="16"/>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47084943"/>
    <w:multiLevelType w:val="hybridMultilevel"/>
    <w:tmpl w:val="153608E8"/>
    <w:lvl w:ilvl="0" w:tplc="AC189160">
      <w:start w:val="1"/>
      <w:numFmt w:val="bullet"/>
      <w:pStyle w:val="Bullet1"/>
      <w:lvlText w:val=""/>
      <w:lvlJc w:val="left"/>
      <w:pPr>
        <w:ind w:left="360" w:hanging="360"/>
      </w:pPr>
      <w:rPr>
        <w:rFonts w:ascii="Symbol" w:hAnsi="Symbol" w:hint="default"/>
      </w:rPr>
    </w:lvl>
    <w:lvl w:ilvl="1" w:tplc="16DE8A6A">
      <w:start w:val="1"/>
      <w:numFmt w:val="bullet"/>
      <w:pStyle w:val="Bullet2"/>
      <w:lvlText w:val="­"/>
      <w:lvlJc w:val="left"/>
      <w:pPr>
        <w:ind w:left="1080" w:hanging="360"/>
      </w:pPr>
      <w:rPr>
        <w:rFonts w:ascii="Courier New" w:hAnsi="Courier New" w:hint="default"/>
      </w:rPr>
    </w:lvl>
    <w:lvl w:ilvl="2" w:tplc="7302A4CC">
      <w:start w:val="1"/>
      <w:numFmt w:val="bullet"/>
      <w:pStyle w:val="Bullet3"/>
      <w:lvlText w:val=":"/>
      <w:lvlJc w:val="left"/>
      <w:pPr>
        <w:ind w:left="1800" w:hanging="360"/>
      </w:pPr>
      <w:rPr>
        <w:rFonts w:ascii="Times New Roman" w:hAnsi="Times New Roman" w:cs="Times New Roman" w:hint="default"/>
      </w:rPr>
    </w:lvl>
    <w:lvl w:ilvl="3" w:tplc="1E5C3642">
      <w:start w:val="1"/>
      <w:numFmt w:val="bullet"/>
      <w:pStyle w:val="Bullet4"/>
      <w:lvlText w:val="="/>
      <w:lvlJc w:val="left"/>
      <w:pPr>
        <w:ind w:left="2520" w:hanging="360"/>
      </w:pPr>
      <w:rPr>
        <w:rFonts w:ascii="Times New Roman" w:hAnsi="Times New Roman" w:cs="Times New Roman" w:hint="default"/>
      </w:rPr>
    </w:lvl>
    <w:lvl w:ilvl="4" w:tplc="F5B02834">
      <w:start w:val="1"/>
      <w:numFmt w:val="bullet"/>
      <w:pStyle w:val="Bullet5"/>
      <w:lvlText w:val="+"/>
      <w:lvlJc w:val="left"/>
      <w:pPr>
        <w:ind w:left="3240" w:hanging="360"/>
      </w:pPr>
      <w:rPr>
        <w:rFonts w:ascii="Times New Roman" w:hAnsi="Times New Roman" w:cs="Times New Roman"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C5A522F"/>
    <w:multiLevelType w:val="hybridMultilevel"/>
    <w:tmpl w:val="3C783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CDD0A5F"/>
    <w:multiLevelType w:val="hybridMultilevel"/>
    <w:tmpl w:val="4566B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0F21FBE"/>
    <w:multiLevelType w:val="hybridMultilevel"/>
    <w:tmpl w:val="C7E66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0F45B2D"/>
    <w:multiLevelType w:val="hybridMultilevel"/>
    <w:tmpl w:val="09A2C534"/>
    <w:lvl w:ilvl="0" w:tplc="6D1C3F3A">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5">
    <w:nsid w:val="53424CA9"/>
    <w:multiLevelType w:val="hybridMultilevel"/>
    <w:tmpl w:val="84A8A438"/>
    <w:lvl w:ilvl="0" w:tplc="C50254A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3BD4790"/>
    <w:multiLevelType w:val="hybridMultilevel"/>
    <w:tmpl w:val="19A2E212"/>
    <w:lvl w:ilvl="0" w:tplc="B4DCEC4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5D0540A9"/>
    <w:multiLevelType w:val="multilevel"/>
    <w:tmpl w:val="BA806F92"/>
    <w:name w:val="AppendicesNumbering"/>
    <w:lvl w:ilvl="0">
      <w:start w:val="1"/>
      <w:numFmt w:val="upperLetter"/>
      <w:lvlRestart w:val="0"/>
      <w:pStyle w:val="AppendixTitle1"/>
      <w:suff w:val="space"/>
      <w:lvlText w:val="Appendix %1"/>
      <w:lvlJc w:val="left"/>
      <w:pPr>
        <w:ind w:left="0" w:firstLine="0"/>
      </w:pPr>
      <w:rPr>
        <w:rFonts w:hint="default"/>
        <w:b w:val="0"/>
        <w:i w:val="0"/>
        <w:sz w:val="40"/>
      </w:rPr>
    </w:lvl>
    <w:lvl w:ilvl="1">
      <w:start w:val="1"/>
      <w:numFmt w:val="none"/>
      <w:pStyle w:val="AppendixHeading11"/>
      <w:suff w:val="nothing"/>
      <w:lvlText w:val=""/>
      <w:lvlJc w:val="left"/>
      <w:pPr>
        <w:tabs>
          <w:tab w:val="num" w:pos="0"/>
        </w:tabs>
        <w:ind w:left="0" w:firstLine="0"/>
      </w:pPr>
      <w:rPr>
        <w:rFonts w:hint="default"/>
        <w:sz w:val="26"/>
      </w:rPr>
    </w:lvl>
    <w:lvl w:ilvl="2">
      <w:start w:val="1"/>
      <w:numFmt w:val="none"/>
      <w:pStyle w:val="AppendixHeading2"/>
      <w:suff w:val="nothing"/>
      <w:lvlText w:val=""/>
      <w:lvlJc w:val="left"/>
      <w:pPr>
        <w:tabs>
          <w:tab w:val="num" w:pos="0"/>
        </w:tabs>
        <w:ind w:left="0" w:firstLine="0"/>
      </w:pPr>
      <w:rPr>
        <w:rFonts w:hint="default"/>
      </w:rPr>
    </w:lvl>
    <w:lvl w:ilvl="3">
      <w:start w:val="1"/>
      <w:numFmt w:val="none"/>
      <w:lvlRestart w:val="2"/>
      <w:pStyle w:val="Appendix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28">
    <w:nsid w:val="5D234B59"/>
    <w:multiLevelType w:val="hybridMultilevel"/>
    <w:tmpl w:val="93DCF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EC32125"/>
    <w:multiLevelType w:val="hybridMultilevel"/>
    <w:tmpl w:val="6156A2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8DA3198"/>
    <w:multiLevelType w:val="hybridMultilevel"/>
    <w:tmpl w:val="F3C2FB10"/>
    <w:lvl w:ilvl="0" w:tplc="437C41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D1D40AC"/>
    <w:multiLevelType w:val="multilevel"/>
    <w:tmpl w:val="6200F694"/>
    <w:name w:val="TableNumbering"/>
    <w:lvl w:ilvl="0">
      <w:start w:val="1"/>
      <w:numFmt w:val="decimal"/>
      <w:lvlText w:val="%1"/>
      <w:lvlJc w:val="left"/>
      <w:pPr>
        <w:tabs>
          <w:tab w:val="num" w:pos="397"/>
        </w:tabs>
        <w:ind w:left="397" w:hanging="284"/>
      </w:pPr>
      <w:rPr>
        <w:rFonts w:hint="default"/>
      </w:rPr>
    </w:lvl>
    <w:lvl w:ilvl="1">
      <w:start w:val="1"/>
      <w:numFmt w:val="lowerLetter"/>
      <w:lvlText w:val="%2"/>
      <w:lvlJc w:val="left"/>
      <w:pPr>
        <w:tabs>
          <w:tab w:val="num" w:pos="709"/>
        </w:tabs>
        <w:ind w:left="709" w:hanging="283"/>
      </w:pPr>
      <w:rPr>
        <w:rFonts w:hint="default"/>
      </w:rPr>
    </w:lvl>
    <w:lvl w:ilvl="2">
      <w:start w:val="1"/>
      <w:numFmt w:val="lowerRoman"/>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nsid w:val="7312496F"/>
    <w:multiLevelType w:val="hybridMultilevel"/>
    <w:tmpl w:val="C17AEB36"/>
    <w:lvl w:ilvl="0" w:tplc="0C090001">
      <w:start w:val="1"/>
      <w:numFmt w:val="bullet"/>
      <w:lvlText w:val=""/>
      <w:lvlJc w:val="left"/>
      <w:pPr>
        <w:ind w:left="720" w:hanging="360"/>
      </w:pPr>
      <w:rPr>
        <w:rFonts w:ascii="Symbol" w:hAnsi="Symbol" w:hint="default"/>
      </w:rPr>
    </w:lvl>
    <w:lvl w:ilvl="1" w:tplc="F0EC0CEC">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58E091D"/>
    <w:multiLevelType w:val="hybridMultilevel"/>
    <w:tmpl w:val="93188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num>
  <w:num w:numId="2">
    <w:abstractNumId w:val="16"/>
    <w:lvlOverride w:ilvl="0">
      <w:startOverride w:val="1"/>
    </w:lvlOverride>
  </w:num>
  <w:num w:numId="3">
    <w:abstractNumId w:val="20"/>
  </w:num>
  <w:num w:numId="4">
    <w:abstractNumId w:val="10"/>
  </w:num>
  <w:num w:numId="5">
    <w:abstractNumId w:val="9"/>
  </w:num>
  <w:num w:numId="6">
    <w:abstractNumId w:val="22"/>
  </w:num>
  <w:num w:numId="7">
    <w:abstractNumId w:val="0"/>
  </w:num>
  <w:num w:numId="8">
    <w:abstractNumId w:val="21"/>
  </w:num>
  <w:num w:numId="9">
    <w:abstractNumId w:val="23"/>
  </w:num>
  <w:num w:numId="10">
    <w:abstractNumId w:val="7"/>
  </w:num>
  <w:num w:numId="11">
    <w:abstractNumId w:val="12"/>
  </w:num>
  <w:num w:numId="12">
    <w:abstractNumId w:val="5"/>
  </w:num>
  <w:num w:numId="13">
    <w:abstractNumId w:val="32"/>
  </w:num>
  <w:num w:numId="14">
    <w:abstractNumId w:val="15"/>
  </w:num>
  <w:num w:numId="15">
    <w:abstractNumId w:val="2"/>
  </w:num>
  <w:num w:numId="16">
    <w:abstractNumId w:val="11"/>
  </w:num>
  <w:num w:numId="17">
    <w:abstractNumId w:val="20"/>
  </w:num>
  <w:num w:numId="18">
    <w:abstractNumId w:val="8"/>
  </w:num>
  <w:num w:numId="19">
    <w:abstractNumId w:val="13"/>
  </w:num>
  <w:num w:numId="20">
    <w:abstractNumId w:val="30"/>
  </w:num>
  <w:num w:numId="21">
    <w:abstractNumId w:val="26"/>
  </w:num>
  <w:num w:numId="22">
    <w:abstractNumId w:val="24"/>
  </w:num>
  <w:num w:numId="23">
    <w:abstractNumId w:val="1"/>
  </w:num>
  <w:num w:numId="24">
    <w:abstractNumId w:val="6"/>
  </w:num>
  <w:num w:numId="25">
    <w:abstractNumId w:val="4"/>
  </w:num>
  <w:num w:numId="26">
    <w:abstractNumId w:val="17"/>
  </w:num>
  <w:num w:numId="27">
    <w:abstractNumId w:val="31"/>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9"/>
  </w:num>
  <w:num w:numId="33">
    <w:abstractNumId w:val="14"/>
  </w:num>
  <w:num w:numId="34">
    <w:abstractNumId w:val="18"/>
  </w:num>
  <w:num w:numId="35">
    <w:abstractNumId w:val="33"/>
  </w:num>
  <w:num w:numId="36">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0"/>
  </w:num>
  <w:num w:numId="40">
    <w:abstractNumId w:val="20"/>
  </w:num>
  <w:num w:numId="41">
    <w:abstractNumId w:val="29"/>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925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C7"/>
    <w:rsid w:val="00001C33"/>
    <w:rsid w:val="00002912"/>
    <w:rsid w:val="00005257"/>
    <w:rsid w:val="0000755F"/>
    <w:rsid w:val="0001026A"/>
    <w:rsid w:val="00012ABB"/>
    <w:rsid w:val="00013888"/>
    <w:rsid w:val="0001404D"/>
    <w:rsid w:val="00014105"/>
    <w:rsid w:val="000154A2"/>
    <w:rsid w:val="00016221"/>
    <w:rsid w:val="00016253"/>
    <w:rsid w:val="00017FF1"/>
    <w:rsid w:val="00023C9A"/>
    <w:rsid w:val="000247C8"/>
    <w:rsid w:val="00024E08"/>
    <w:rsid w:val="00030032"/>
    <w:rsid w:val="00030C3E"/>
    <w:rsid w:val="00035BEF"/>
    <w:rsid w:val="00036023"/>
    <w:rsid w:val="00041495"/>
    <w:rsid w:val="00043F5E"/>
    <w:rsid w:val="000444E8"/>
    <w:rsid w:val="000460BB"/>
    <w:rsid w:val="000464ED"/>
    <w:rsid w:val="00047F1B"/>
    <w:rsid w:val="000543DC"/>
    <w:rsid w:val="000547E2"/>
    <w:rsid w:val="000568B4"/>
    <w:rsid w:val="00061008"/>
    <w:rsid w:val="000652EF"/>
    <w:rsid w:val="0007220A"/>
    <w:rsid w:val="00072447"/>
    <w:rsid w:val="00072581"/>
    <w:rsid w:val="00072B17"/>
    <w:rsid w:val="0007310B"/>
    <w:rsid w:val="00073713"/>
    <w:rsid w:val="000743AC"/>
    <w:rsid w:val="000748A6"/>
    <w:rsid w:val="00075898"/>
    <w:rsid w:val="00077AE6"/>
    <w:rsid w:val="00077F57"/>
    <w:rsid w:val="00082E34"/>
    <w:rsid w:val="000859A2"/>
    <w:rsid w:val="0008769A"/>
    <w:rsid w:val="00093D64"/>
    <w:rsid w:val="000957A1"/>
    <w:rsid w:val="00096A78"/>
    <w:rsid w:val="00096B79"/>
    <w:rsid w:val="00096F8F"/>
    <w:rsid w:val="000972BF"/>
    <w:rsid w:val="000A0B62"/>
    <w:rsid w:val="000A214A"/>
    <w:rsid w:val="000A241D"/>
    <w:rsid w:val="000A28C1"/>
    <w:rsid w:val="000A5B3D"/>
    <w:rsid w:val="000B288A"/>
    <w:rsid w:val="000B6429"/>
    <w:rsid w:val="000B6FE6"/>
    <w:rsid w:val="000C03A6"/>
    <w:rsid w:val="000C4681"/>
    <w:rsid w:val="000C4C73"/>
    <w:rsid w:val="000C4FC2"/>
    <w:rsid w:val="000C7000"/>
    <w:rsid w:val="000C7481"/>
    <w:rsid w:val="000D14D5"/>
    <w:rsid w:val="000D1793"/>
    <w:rsid w:val="000D5446"/>
    <w:rsid w:val="000D5676"/>
    <w:rsid w:val="000E3775"/>
    <w:rsid w:val="000E73F0"/>
    <w:rsid w:val="000F0126"/>
    <w:rsid w:val="000F2752"/>
    <w:rsid w:val="000F5570"/>
    <w:rsid w:val="000F5904"/>
    <w:rsid w:val="000F6A98"/>
    <w:rsid w:val="000F73BD"/>
    <w:rsid w:val="000F74DB"/>
    <w:rsid w:val="0010051C"/>
    <w:rsid w:val="00100DF7"/>
    <w:rsid w:val="00101951"/>
    <w:rsid w:val="00103343"/>
    <w:rsid w:val="001036F8"/>
    <w:rsid w:val="001062D2"/>
    <w:rsid w:val="001074D8"/>
    <w:rsid w:val="00112379"/>
    <w:rsid w:val="0011504B"/>
    <w:rsid w:val="001244FE"/>
    <w:rsid w:val="001246C5"/>
    <w:rsid w:val="001259CF"/>
    <w:rsid w:val="0012673C"/>
    <w:rsid w:val="0013142B"/>
    <w:rsid w:val="00133532"/>
    <w:rsid w:val="001345AD"/>
    <w:rsid w:val="0013536D"/>
    <w:rsid w:val="0013683A"/>
    <w:rsid w:val="00137B10"/>
    <w:rsid w:val="00140630"/>
    <w:rsid w:val="00140695"/>
    <w:rsid w:val="0014157F"/>
    <w:rsid w:val="00142A99"/>
    <w:rsid w:val="00142FD4"/>
    <w:rsid w:val="001449A8"/>
    <w:rsid w:val="00144E33"/>
    <w:rsid w:val="00144FEC"/>
    <w:rsid w:val="00146D64"/>
    <w:rsid w:val="00147379"/>
    <w:rsid w:val="00150BBB"/>
    <w:rsid w:val="0015221D"/>
    <w:rsid w:val="00152D5E"/>
    <w:rsid w:val="00154F36"/>
    <w:rsid w:val="0015675B"/>
    <w:rsid w:val="0015676F"/>
    <w:rsid w:val="00166823"/>
    <w:rsid w:val="00166E45"/>
    <w:rsid w:val="001711B0"/>
    <w:rsid w:val="001730E4"/>
    <w:rsid w:val="00174EE0"/>
    <w:rsid w:val="00175AAE"/>
    <w:rsid w:val="00175D63"/>
    <w:rsid w:val="001774C3"/>
    <w:rsid w:val="00180FF3"/>
    <w:rsid w:val="00183893"/>
    <w:rsid w:val="00191F7C"/>
    <w:rsid w:val="0019225A"/>
    <w:rsid w:val="001937D2"/>
    <w:rsid w:val="001A290B"/>
    <w:rsid w:val="001A6FF8"/>
    <w:rsid w:val="001B0274"/>
    <w:rsid w:val="001B1928"/>
    <w:rsid w:val="001B266A"/>
    <w:rsid w:val="001B5004"/>
    <w:rsid w:val="001B6FDF"/>
    <w:rsid w:val="001B7989"/>
    <w:rsid w:val="001B7C84"/>
    <w:rsid w:val="001C245F"/>
    <w:rsid w:val="001C2558"/>
    <w:rsid w:val="001C4137"/>
    <w:rsid w:val="001C7180"/>
    <w:rsid w:val="001C71EB"/>
    <w:rsid w:val="001D0629"/>
    <w:rsid w:val="001D1EBA"/>
    <w:rsid w:val="001D37A5"/>
    <w:rsid w:val="001D7790"/>
    <w:rsid w:val="001E0836"/>
    <w:rsid w:val="001E1EE2"/>
    <w:rsid w:val="001E4C23"/>
    <w:rsid w:val="001E7335"/>
    <w:rsid w:val="001F17AD"/>
    <w:rsid w:val="001F1868"/>
    <w:rsid w:val="001F4A57"/>
    <w:rsid w:val="001F5325"/>
    <w:rsid w:val="001F790F"/>
    <w:rsid w:val="00201E63"/>
    <w:rsid w:val="00201F77"/>
    <w:rsid w:val="0020200A"/>
    <w:rsid w:val="00204FC3"/>
    <w:rsid w:val="00205EC3"/>
    <w:rsid w:val="002069FE"/>
    <w:rsid w:val="00210255"/>
    <w:rsid w:val="00222276"/>
    <w:rsid w:val="00222F20"/>
    <w:rsid w:val="00223815"/>
    <w:rsid w:val="00223DED"/>
    <w:rsid w:val="00224675"/>
    <w:rsid w:val="002250E8"/>
    <w:rsid w:val="00226B70"/>
    <w:rsid w:val="00230AE2"/>
    <w:rsid w:val="00232336"/>
    <w:rsid w:val="0023571D"/>
    <w:rsid w:val="00235BFF"/>
    <w:rsid w:val="0023734D"/>
    <w:rsid w:val="002376ED"/>
    <w:rsid w:val="00237727"/>
    <w:rsid w:val="00240CB2"/>
    <w:rsid w:val="00242999"/>
    <w:rsid w:val="0024486B"/>
    <w:rsid w:val="0024540B"/>
    <w:rsid w:val="00246480"/>
    <w:rsid w:val="00252A0E"/>
    <w:rsid w:val="00254CEE"/>
    <w:rsid w:val="002555D6"/>
    <w:rsid w:val="00255C1E"/>
    <w:rsid w:val="00256083"/>
    <w:rsid w:val="002565D1"/>
    <w:rsid w:val="00260709"/>
    <w:rsid w:val="00262C82"/>
    <w:rsid w:val="00263B04"/>
    <w:rsid w:val="00266714"/>
    <w:rsid w:val="00266A52"/>
    <w:rsid w:val="00277366"/>
    <w:rsid w:val="00277A2A"/>
    <w:rsid w:val="002818E2"/>
    <w:rsid w:val="0028359E"/>
    <w:rsid w:val="002852A0"/>
    <w:rsid w:val="0029275E"/>
    <w:rsid w:val="002943E7"/>
    <w:rsid w:val="002A29CD"/>
    <w:rsid w:val="002A569E"/>
    <w:rsid w:val="002A56BE"/>
    <w:rsid w:val="002A5B63"/>
    <w:rsid w:val="002A5FC5"/>
    <w:rsid w:val="002A615C"/>
    <w:rsid w:val="002A6F27"/>
    <w:rsid w:val="002A7029"/>
    <w:rsid w:val="002A70A4"/>
    <w:rsid w:val="002B33CD"/>
    <w:rsid w:val="002B340C"/>
    <w:rsid w:val="002B642C"/>
    <w:rsid w:val="002B66AF"/>
    <w:rsid w:val="002B68F0"/>
    <w:rsid w:val="002B7E32"/>
    <w:rsid w:val="002C0665"/>
    <w:rsid w:val="002C17A9"/>
    <w:rsid w:val="002C272E"/>
    <w:rsid w:val="002C358C"/>
    <w:rsid w:val="002C389C"/>
    <w:rsid w:val="002C4B2A"/>
    <w:rsid w:val="002C5EB3"/>
    <w:rsid w:val="002C6574"/>
    <w:rsid w:val="002C7698"/>
    <w:rsid w:val="002D2A2F"/>
    <w:rsid w:val="002D3148"/>
    <w:rsid w:val="002D4CCA"/>
    <w:rsid w:val="002E019A"/>
    <w:rsid w:val="002E0C0E"/>
    <w:rsid w:val="002E15C4"/>
    <w:rsid w:val="002E3D70"/>
    <w:rsid w:val="002E44EE"/>
    <w:rsid w:val="002F27AB"/>
    <w:rsid w:val="002F3288"/>
    <w:rsid w:val="002F6577"/>
    <w:rsid w:val="002F73A7"/>
    <w:rsid w:val="002F7815"/>
    <w:rsid w:val="00300B75"/>
    <w:rsid w:val="003020C9"/>
    <w:rsid w:val="00302596"/>
    <w:rsid w:val="003054AE"/>
    <w:rsid w:val="0030595A"/>
    <w:rsid w:val="00310C2F"/>
    <w:rsid w:val="00313B97"/>
    <w:rsid w:val="00315623"/>
    <w:rsid w:val="003161DA"/>
    <w:rsid w:val="00322AED"/>
    <w:rsid w:val="003369EE"/>
    <w:rsid w:val="00341201"/>
    <w:rsid w:val="00342FB9"/>
    <w:rsid w:val="00344B8D"/>
    <w:rsid w:val="00346A3F"/>
    <w:rsid w:val="00347044"/>
    <w:rsid w:val="00347681"/>
    <w:rsid w:val="00353D66"/>
    <w:rsid w:val="003553BD"/>
    <w:rsid w:val="00355FEB"/>
    <w:rsid w:val="00356E41"/>
    <w:rsid w:val="00357D9F"/>
    <w:rsid w:val="00365B05"/>
    <w:rsid w:val="00365BD8"/>
    <w:rsid w:val="003660A2"/>
    <w:rsid w:val="003672D5"/>
    <w:rsid w:val="003733A3"/>
    <w:rsid w:val="00374E27"/>
    <w:rsid w:val="00383C33"/>
    <w:rsid w:val="0038557B"/>
    <w:rsid w:val="00385857"/>
    <w:rsid w:val="00392811"/>
    <w:rsid w:val="00392BA4"/>
    <w:rsid w:val="003939C7"/>
    <w:rsid w:val="00394A72"/>
    <w:rsid w:val="00395A4E"/>
    <w:rsid w:val="00395B9D"/>
    <w:rsid w:val="0039656D"/>
    <w:rsid w:val="0039778D"/>
    <w:rsid w:val="003A55BF"/>
    <w:rsid w:val="003A70C5"/>
    <w:rsid w:val="003B1CA0"/>
    <w:rsid w:val="003B1E80"/>
    <w:rsid w:val="003B25B9"/>
    <w:rsid w:val="003C073A"/>
    <w:rsid w:val="003C19AE"/>
    <w:rsid w:val="003C319A"/>
    <w:rsid w:val="003C324C"/>
    <w:rsid w:val="003C4528"/>
    <w:rsid w:val="003C4948"/>
    <w:rsid w:val="003C59A7"/>
    <w:rsid w:val="003D28C1"/>
    <w:rsid w:val="003D36B6"/>
    <w:rsid w:val="003D37D2"/>
    <w:rsid w:val="003E0916"/>
    <w:rsid w:val="003E397A"/>
    <w:rsid w:val="003E3AC3"/>
    <w:rsid w:val="003F010B"/>
    <w:rsid w:val="003F0BF7"/>
    <w:rsid w:val="003F352A"/>
    <w:rsid w:val="003F3CAB"/>
    <w:rsid w:val="003F4483"/>
    <w:rsid w:val="003F451F"/>
    <w:rsid w:val="003F4CA6"/>
    <w:rsid w:val="00401559"/>
    <w:rsid w:val="00406F5B"/>
    <w:rsid w:val="0041391A"/>
    <w:rsid w:val="004172DE"/>
    <w:rsid w:val="00421CB6"/>
    <w:rsid w:val="00422DD3"/>
    <w:rsid w:val="00426D27"/>
    <w:rsid w:val="00427B34"/>
    <w:rsid w:val="00431AF9"/>
    <w:rsid w:val="00432353"/>
    <w:rsid w:val="00437752"/>
    <w:rsid w:val="00437E21"/>
    <w:rsid w:val="00440916"/>
    <w:rsid w:val="004512C4"/>
    <w:rsid w:val="004536BA"/>
    <w:rsid w:val="00453A83"/>
    <w:rsid w:val="00454EA4"/>
    <w:rsid w:val="0045600F"/>
    <w:rsid w:val="0046029E"/>
    <w:rsid w:val="00462B99"/>
    <w:rsid w:val="00464425"/>
    <w:rsid w:val="0046565C"/>
    <w:rsid w:val="0046646B"/>
    <w:rsid w:val="00466A51"/>
    <w:rsid w:val="00466E04"/>
    <w:rsid w:val="004670EA"/>
    <w:rsid w:val="00467845"/>
    <w:rsid w:val="00467943"/>
    <w:rsid w:val="0047021D"/>
    <w:rsid w:val="00470907"/>
    <w:rsid w:val="00472A73"/>
    <w:rsid w:val="0047312F"/>
    <w:rsid w:val="00473C55"/>
    <w:rsid w:val="00473EE2"/>
    <w:rsid w:val="0047566C"/>
    <w:rsid w:val="004772D9"/>
    <w:rsid w:val="0048170C"/>
    <w:rsid w:val="00482A7D"/>
    <w:rsid w:val="0048524C"/>
    <w:rsid w:val="00485CAD"/>
    <w:rsid w:val="00486DE7"/>
    <w:rsid w:val="00491308"/>
    <w:rsid w:val="0049189B"/>
    <w:rsid w:val="00492FE0"/>
    <w:rsid w:val="004931E7"/>
    <w:rsid w:val="004940D8"/>
    <w:rsid w:val="00495261"/>
    <w:rsid w:val="0049719C"/>
    <w:rsid w:val="004A3314"/>
    <w:rsid w:val="004A68A3"/>
    <w:rsid w:val="004B18F4"/>
    <w:rsid w:val="004B3D13"/>
    <w:rsid w:val="004B6727"/>
    <w:rsid w:val="004B6F4E"/>
    <w:rsid w:val="004C03BF"/>
    <w:rsid w:val="004C1A04"/>
    <w:rsid w:val="004C2CCC"/>
    <w:rsid w:val="004C5BA3"/>
    <w:rsid w:val="004C5CA5"/>
    <w:rsid w:val="004C5D3F"/>
    <w:rsid w:val="004C6768"/>
    <w:rsid w:val="004D1A47"/>
    <w:rsid w:val="004D1FA3"/>
    <w:rsid w:val="004D43D1"/>
    <w:rsid w:val="004E05ED"/>
    <w:rsid w:val="004E3576"/>
    <w:rsid w:val="004F18BE"/>
    <w:rsid w:val="004F1A32"/>
    <w:rsid w:val="004F75CA"/>
    <w:rsid w:val="0050190A"/>
    <w:rsid w:val="00502E21"/>
    <w:rsid w:val="005075D8"/>
    <w:rsid w:val="005076B6"/>
    <w:rsid w:val="00511320"/>
    <w:rsid w:val="0051164C"/>
    <w:rsid w:val="00511CB4"/>
    <w:rsid w:val="00513538"/>
    <w:rsid w:val="005179AC"/>
    <w:rsid w:val="00520230"/>
    <w:rsid w:val="005204AE"/>
    <w:rsid w:val="00520565"/>
    <w:rsid w:val="005205A7"/>
    <w:rsid w:val="00525A5D"/>
    <w:rsid w:val="00526B22"/>
    <w:rsid w:val="00527D41"/>
    <w:rsid w:val="0053082C"/>
    <w:rsid w:val="00530EC5"/>
    <w:rsid w:val="00532111"/>
    <w:rsid w:val="005323C2"/>
    <w:rsid w:val="00533F06"/>
    <w:rsid w:val="00534836"/>
    <w:rsid w:val="005427A7"/>
    <w:rsid w:val="00543268"/>
    <w:rsid w:val="005459E8"/>
    <w:rsid w:val="00551248"/>
    <w:rsid w:val="00555133"/>
    <w:rsid w:val="0055561D"/>
    <w:rsid w:val="00557CBC"/>
    <w:rsid w:val="00557D8D"/>
    <w:rsid w:val="0056062B"/>
    <w:rsid w:val="005626CD"/>
    <w:rsid w:val="00562D92"/>
    <w:rsid w:val="0056304F"/>
    <w:rsid w:val="00565EA9"/>
    <w:rsid w:val="0056649D"/>
    <w:rsid w:val="0056682B"/>
    <w:rsid w:val="00567D8C"/>
    <w:rsid w:val="0057163C"/>
    <w:rsid w:val="00571865"/>
    <w:rsid w:val="00572FD7"/>
    <w:rsid w:val="00575B0B"/>
    <w:rsid w:val="00576D61"/>
    <w:rsid w:val="005832A6"/>
    <w:rsid w:val="00583436"/>
    <w:rsid w:val="005836D4"/>
    <w:rsid w:val="00584E69"/>
    <w:rsid w:val="0058651A"/>
    <w:rsid w:val="00595E1E"/>
    <w:rsid w:val="00596C26"/>
    <w:rsid w:val="00597592"/>
    <w:rsid w:val="00597C53"/>
    <w:rsid w:val="005A16FE"/>
    <w:rsid w:val="005A1A88"/>
    <w:rsid w:val="005A318B"/>
    <w:rsid w:val="005A3D26"/>
    <w:rsid w:val="005A417A"/>
    <w:rsid w:val="005B0A14"/>
    <w:rsid w:val="005B1701"/>
    <w:rsid w:val="005B325D"/>
    <w:rsid w:val="005C025F"/>
    <w:rsid w:val="005C2F9E"/>
    <w:rsid w:val="005C3F95"/>
    <w:rsid w:val="005C51F9"/>
    <w:rsid w:val="005D002A"/>
    <w:rsid w:val="005D0921"/>
    <w:rsid w:val="005D0AF3"/>
    <w:rsid w:val="005D11FA"/>
    <w:rsid w:val="005D1256"/>
    <w:rsid w:val="005D23BB"/>
    <w:rsid w:val="005E40C5"/>
    <w:rsid w:val="005E4E21"/>
    <w:rsid w:val="005E7470"/>
    <w:rsid w:val="005E7A3C"/>
    <w:rsid w:val="005F5278"/>
    <w:rsid w:val="005F6B98"/>
    <w:rsid w:val="006008B9"/>
    <w:rsid w:val="00605005"/>
    <w:rsid w:val="006051D3"/>
    <w:rsid w:val="00607190"/>
    <w:rsid w:val="0061043D"/>
    <w:rsid w:val="00620EC1"/>
    <w:rsid w:val="00622D7E"/>
    <w:rsid w:val="00623619"/>
    <w:rsid w:val="006258FC"/>
    <w:rsid w:val="00625EEB"/>
    <w:rsid w:val="00626105"/>
    <w:rsid w:val="006268EC"/>
    <w:rsid w:val="006312FA"/>
    <w:rsid w:val="00632F1C"/>
    <w:rsid w:val="00635B6F"/>
    <w:rsid w:val="006370B2"/>
    <w:rsid w:val="00643C9C"/>
    <w:rsid w:val="00644CCF"/>
    <w:rsid w:val="006504B6"/>
    <w:rsid w:val="0065278E"/>
    <w:rsid w:val="00652C3B"/>
    <w:rsid w:val="00654144"/>
    <w:rsid w:val="006560F4"/>
    <w:rsid w:val="00660E2F"/>
    <w:rsid w:val="006640E0"/>
    <w:rsid w:val="00667F30"/>
    <w:rsid w:val="00672C2B"/>
    <w:rsid w:val="006730FE"/>
    <w:rsid w:val="00674E11"/>
    <w:rsid w:val="00675F77"/>
    <w:rsid w:val="00680106"/>
    <w:rsid w:val="00681078"/>
    <w:rsid w:val="0068133D"/>
    <w:rsid w:val="00682921"/>
    <w:rsid w:val="006877FC"/>
    <w:rsid w:val="00691635"/>
    <w:rsid w:val="00695153"/>
    <w:rsid w:val="00695C4D"/>
    <w:rsid w:val="00696A51"/>
    <w:rsid w:val="00697D70"/>
    <w:rsid w:val="006A0C05"/>
    <w:rsid w:val="006A226A"/>
    <w:rsid w:val="006A30F3"/>
    <w:rsid w:val="006A32C9"/>
    <w:rsid w:val="006A49DE"/>
    <w:rsid w:val="006A5732"/>
    <w:rsid w:val="006A5AE2"/>
    <w:rsid w:val="006B089F"/>
    <w:rsid w:val="006B2FB8"/>
    <w:rsid w:val="006B4261"/>
    <w:rsid w:val="006B5A1D"/>
    <w:rsid w:val="006B6E81"/>
    <w:rsid w:val="006C0EB2"/>
    <w:rsid w:val="006C1C6C"/>
    <w:rsid w:val="006C2766"/>
    <w:rsid w:val="006C41C8"/>
    <w:rsid w:val="006C72F4"/>
    <w:rsid w:val="006D00B3"/>
    <w:rsid w:val="006D0C71"/>
    <w:rsid w:val="006D5F6E"/>
    <w:rsid w:val="006D6C53"/>
    <w:rsid w:val="006D76C7"/>
    <w:rsid w:val="006D7DCF"/>
    <w:rsid w:val="006D7F43"/>
    <w:rsid w:val="006E1A19"/>
    <w:rsid w:val="006E24BF"/>
    <w:rsid w:val="006E628A"/>
    <w:rsid w:val="006E6DF0"/>
    <w:rsid w:val="006E7C82"/>
    <w:rsid w:val="006F1461"/>
    <w:rsid w:val="006F3D6C"/>
    <w:rsid w:val="006F4966"/>
    <w:rsid w:val="006F4B7C"/>
    <w:rsid w:val="006F4E2B"/>
    <w:rsid w:val="006F5E29"/>
    <w:rsid w:val="006F6C2E"/>
    <w:rsid w:val="006F770F"/>
    <w:rsid w:val="00702056"/>
    <w:rsid w:val="00702736"/>
    <w:rsid w:val="00703057"/>
    <w:rsid w:val="00704DD2"/>
    <w:rsid w:val="00705536"/>
    <w:rsid w:val="00707B27"/>
    <w:rsid w:val="00710364"/>
    <w:rsid w:val="00710DDB"/>
    <w:rsid w:val="00712D88"/>
    <w:rsid w:val="00715B09"/>
    <w:rsid w:val="00716256"/>
    <w:rsid w:val="007170EF"/>
    <w:rsid w:val="00722467"/>
    <w:rsid w:val="0072286B"/>
    <w:rsid w:val="00723E24"/>
    <w:rsid w:val="00725639"/>
    <w:rsid w:val="00732136"/>
    <w:rsid w:val="0073396D"/>
    <w:rsid w:val="00735957"/>
    <w:rsid w:val="00735994"/>
    <w:rsid w:val="00735D41"/>
    <w:rsid w:val="00735E18"/>
    <w:rsid w:val="00736B27"/>
    <w:rsid w:val="00742FB7"/>
    <w:rsid w:val="007432E3"/>
    <w:rsid w:val="00743ECF"/>
    <w:rsid w:val="007475AE"/>
    <w:rsid w:val="00747D7B"/>
    <w:rsid w:val="00750087"/>
    <w:rsid w:val="00750095"/>
    <w:rsid w:val="00754AE3"/>
    <w:rsid w:val="00754E5F"/>
    <w:rsid w:val="00755270"/>
    <w:rsid w:val="0075566C"/>
    <w:rsid w:val="00755ABA"/>
    <w:rsid w:val="007575E3"/>
    <w:rsid w:val="007616D6"/>
    <w:rsid w:val="00762006"/>
    <w:rsid w:val="00762753"/>
    <w:rsid w:val="007629F6"/>
    <w:rsid w:val="00764779"/>
    <w:rsid w:val="00764FC5"/>
    <w:rsid w:val="00765DF6"/>
    <w:rsid w:val="00767AD2"/>
    <w:rsid w:val="00770BB2"/>
    <w:rsid w:val="0077272B"/>
    <w:rsid w:val="00772A4F"/>
    <w:rsid w:val="00772F3B"/>
    <w:rsid w:val="007737A9"/>
    <w:rsid w:val="00775ACE"/>
    <w:rsid w:val="00776672"/>
    <w:rsid w:val="00782C24"/>
    <w:rsid w:val="007854A6"/>
    <w:rsid w:val="007905B7"/>
    <w:rsid w:val="0079356B"/>
    <w:rsid w:val="00794A2E"/>
    <w:rsid w:val="00797307"/>
    <w:rsid w:val="007A131A"/>
    <w:rsid w:val="007A4916"/>
    <w:rsid w:val="007B2889"/>
    <w:rsid w:val="007B28F9"/>
    <w:rsid w:val="007B3471"/>
    <w:rsid w:val="007B542B"/>
    <w:rsid w:val="007C1434"/>
    <w:rsid w:val="007C1745"/>
    <w:rsid w:val="007C1A69"/>
    <w:rsid w:val="007C2C9C"/>
    <w:rsid w:val="007C5284"/>
    <w:rsid w:val="007C5437"/>
    <w:rsid w:val="007C6FC5"/>
    <w:rsid w:val="007C7EE9"/>
    <w:rsid w:val="007D0365"/>
    <w:rsid w:val="007D5F06"/>
    <w:rsid w:val="007D65A5"/>
    <w:rsid w:val="007D7F35"/>
    <w:rsid w:val="007E086B"/>
    <w:rsid w:val="007E6158"/>
    <w:rsid w:val="007F0CC6"/>
    <w:rsid w:val="007F4770"/>
    <w:rsid w:val="007F59BF"/>
    <w:rsid w:val="007F5ABA"/>
    <w:rsid w:val="007F5B8C"/>
    <w:rsid w:val="007F6A3A"/>
    <w:rsid w:val="007F7AA0"/>
    <w:rsid w:val="007F7B83"/>
    <w:rsid w:val="007F7F9B"/>
    <w:rsid w:val="0080253F"/>
    <w:rsid w:val="00803296"/>
    <w:rsid w:val="00803A2F"/>
    <w:rsid w:val="0080431A"/>
    <w:rsid w:val="00804F1A"/>
    <w:rsid w:val="00807766"/>
    <w:rsid w:val="00807AF6"/>
    <w:rsid w:val="008133D6"/>
    <w:rsid w:val="00813F8A"/>
    <w:rsid w:val="00816F90"/>
    <w:rsid w:val="008208A2"/>
    <w:rsid w:val="0082133E"/>
    <w:rsid w:val="008305AB"/>
    <w:rsid w:val="00844E74"/>
    <w:rsid w:val="00846119"/>
    <w:rsid w:val="008461CD"/>
    <w:rsid w:val="008462F0"/>
    <w:rsid w:val="00846A1E"/>
    <w:rsid w:val="00850686"/>
    <w:rsid w:val="00850B1A"/>
    <w:rsid w:val="0085116E"/>
    <w:rsid w:val="00861202"/>
    <w:rsid w:val="00861DFD"/>
    <w:rsid w:val="00863749"/>
    <w:rsid w:val="00867C10"/>
    <w:rsid w:val="00873004"/>
    <w:rsid w:val="00873744"/>
    <w:rsid w:val="0087634F"/>
    <w:rsid w:val="00877B1D"/>
    <w:rsid w:val="00880D50"/>
    <w:rsid w:val="0088250F"/>
    <w:rsid w:val="00882F77"/>
    <w:rsid w:val="008842C2"/>
    <w:rsid w:val="0088677E"/>
    <w:rsid w:val="00890FEA"/>
    <w:rsid w:val="00891FC4"/>
    <w:rsid w:val="00893E67"/>
    <w:rsid w:val="00895A31"/>
    <w:rsid w:val="008A0D13"/>
    <w:rsid w:val="008A4655"/>
    <w:rsid w:val="008A5435"/>
    <w:rsid w:val="008A5AC1"/>
    <w:rsid w:val="008A6B82"/>
    <w:rsid w:val="008A7AB4"/>
    <w:rsid w:val="008B048A"/>
    <w:rsid w:val="008B2C31"/>
    <w:rsid w:val="008B2C4E"/>
    <w:rsid w:val="008B3208"/>
    <w:rsid w:val="008B5C7F"/>
    <w:rsid w:val="008B7A3A"/>
    <w:rsid w:val="008C2518"/>
    <w:rsid w:val="008C4037"/>
    <w:rsid w:val="008C72D3"/>
    <w:rsid w:val="008C7B9F"/>
    <w:rsid w:val="008C7C99"/>
    <w:rsid w:val="008D0FEF"/>
    <w:rsid w:val="008D181D"/>
    <w:rsid w:val="008D21A2"/>
    <w:rsid w:val="008D5F4B"/>
    <w:rsid w:val="008D6D22"/>
    <w:rsid w:val="008D7BBF"/>
    <w:rsid w:val="008D7DE6"/>
    <w:rsid w:val="008E071E"/>
    <w:rsid w:val="008E4267"/>
    <w:rsid w:val="008F1DE7"/>
    <w:rsid w:val="008F2012"/>
    <w:rsid w:val="008F298A"/>
    <w:rsid w:val="008F2B9E"/>
    <w:rsid w:val="008F61B0"/>
    <w:rsid w:val="008F78C8"/>
    <w:rsid w:val="008F7972"/>
    <w:rsid w:val="00903042"/>
    <w:rsid w:val="009031F8"/>
    <w:rsid w:val="00907A5A"/>
    <w:rsid w:val="00912FAB"/>
    <w:rsid w:val="009148D5"/>
    <w:rsid w:val="00922018"/>
    <w:rsid w:val="00923904"/>
    <w:rsid w:val="00927976"/>
    <w:rsid w:val="00930BF2"/>
    <w:rsid w:val="00940B46"/>
    <w:rsid w:val="00941A5C"/>
    <w:rsid w:val="009440DC"/>
    <w:rsid w:val="00945C3B"/>
    <w:rsid w:val="00945CAF"/>
    <w:rsid w:val="0095244D"/>
    <w:rsid w:val="00957F8D"/>
    <w:rsid w:val="00962AAB"/>
    <w:rsid w:val="00967214"/>
    <w:rsid w:val="009706B0"/>
    <w:rsid w:val="00971390"/>
    <w:rsid w:val="009727BF"/>
    <w:rsid w:val="00972D26"/>
    <w:rsid w:val="00977F99"/>
    <w:rsid w:val="009818CB"/>
    <w:rsid w:val="009820E0"/>
    <w:rsid w:val="009837E2"/>
    <w:rsid w:val="00986B21"/>
    <w:rsid w:val="00986D03"/>
    <w:rsid w:val="00993585"/>
    <w:rsid w:val="00994EA5"/>
    <w:rsid w:val="00995D6B"/>
    <w:rsid w:val="009A1D20"/>
    <w:rsid w:val="009A2AC8"/>
    <w:rsid w:val="009A3B09"/>
    <w:rsid w:val="009A48CC"/>
    <w:rsid w:val="009A4DB4"/>
    <w:rsid w:val="009A5648"/>
    <w:rsid w:val="009A5B17"/>
    <w:rsid w:val="009B034C"/>
    <w:rsid w:val="009B0812"/>
    <w:rsid w:val="009B1FC3"/>
    <w:rsid w:val="009B39C1"/>
    <w:rsid w:val="009B41DC"/>
    <w:rsid w:val="009B6788"/>
    <w:rsid w:val="009C4260"/>
    <w:rsid w:val="009C5F55"/>
    <w:rsid w:val="009C66DB"/>
    <w:rsid w:val="009D313F"/>
    <w:rsid w:val="009D4447"/>
    <w:rsid w:val="009D4758"/>
    <w:rsid w:val="009E3577"/>
    <w:rsid w:val="009E6EB9"/>
    <w:rsid w:val="009F1D9B"/>
    <w:rsid w:val="009F51EE"/>
    <w:rsid w:val="009F604C"/>
    <w:rsid w:val="00A01C65"/>
    <w:rsid w:val="00A02382"/>
    <w:rsid w:val="00A050FC"/>
    <w:rsid w:val="00A05B52"/>
    <w:rsid w:val="00A0618E"/>
    <w:rsid w:val="00A07FE0"/>
    <w:rsid w:val="00A103B6"/>
    <w:rsid w:val="00A14D88"/>
    <w:rsid w:val="00A17D76"/>
    <w:rsid w:val="00A20AD1"/>
    <w:rsid w:val="00A22791"/>
    <w:rsid w:val="00A26717"/>
    <w:rsid w:val="00A273D8"/>
    <w:rsid w:val="00A333D4"/>
    <w:rsid w:val="00A431E6"/>
    <w:rsid w:val="00A4480B"/>
    <w:rsid w:val="00A44FAF"/>
    <w:rsid w:val="00A461BE"/>
    <w:rsid w:val="00A5155B"/>
    <w:rsid w:val="00A523DC"/>
    <w:rsid w:val="00A543B4"/>
    <w:rsid w:val="00A55569"/>
    <w:rsid w:val="00A562BE"/>
    <w:rsid w:val="00A5637D"/>
    <w:rsid w:val="00A60511"/>
    <w:rsid w:val="00A62104"/>
    <w:rsid w:val="00A70698"/>
    <w:rsid w:val="00A711CD"/>
    <w:rsid w:val="00A73005"/>
    <w:rsid w:val="00A734A7"/>
    <w:rsid w:val="00A73CE0"/>
    <w:rsid w:val="00A74074"/>
    <w:rsid w:val="00A8196E"/>
    <w:rsid w:val="00A819E5"/>
    <w:rsid w:val="00A8221D"/>
    <w:rsid w:val="00A82441"/>
    <w:rsid w:val="00A82FFF"/>
    <w:rsid w:val="00A87BFA"/>
    <w:rsid w:val="00A9651F"/>
    <w:rsid w:val="00A97790"/>
    <w:rsid w:val="00AA0818"/>
    <w:rsid w:val="00AA19A6"/>
    <w:rsid w:val="00AA3A52"/>
    <w:rsid w:val="00AA5AD6"/>
    <w:rsid w:val="00AA6683"/>
    <w:rsid w:val="00AB3CD0"/>
    <w:rsid w:val="00AB7368"/>
    <w:rsid w:val="00AC198C"/>
    <w:rsid w:val="00AC2EEF"/>
    <w:rsid w:val="00AC6C94"/>
    <w:rsid w:val="00AD076F"/>
    <w:rsid w:val="00AD1DBA"/>
    <w:rsid w:val="00AD2887"/>
    <w:rsid w:val="00AD55CE"/>
    <w:rsid w:val="00AD5836"/>
    <w:rsid w:val="00AD58FE"/>
    <w:rsid w:val="00AD6448"/>
    <w:rsid w:val="00AE149D"/>
    <w:rsid w:val="00AE5737"/>
    <w:rsid w:val="00AE7CB8"/>
    <w:rsid w:val="00AE7E32"/>
    <w:rsid w:val="00AF7309"/>
    <w:rsid w:val="00AF734A"/>
    <w:rsid w:val="00B00147"/>
    <w:rsid w:val="00B00A42"/>
    <w:rsid w:val="00B0348D"/>
    <w:rsid w:val="00B10E27"/>
    <w:rsid w:val="00B10F5D"/>
    <w:rsid w:val="00B14DA3"/>
    <w:rsid w:val="00B168E8"/>
    <w:rsid w:val="00B220A5"/>
    <w:rsid w:val="00B23802"/>
    <w:rsid w:val="00B2640F"/>
    <w:rsid w:val="00B2715B"/>
    <w:rsid w:val="00B306DA"/>
    <w:rsid w:val="00B31849"/>
    <w:rsid w:val="00B33DCF"/>
    <w:rsid w:val="00B36E44"/>
    <w:rsid w:val="00B40746"/>
    <w:rsid w:val="00B4295A"/>
    <w:rsid w:val="00B4619B"/>
    <w:rsid w:val="00B51120"/>
    <w:rsid w:val="00B543DA"/>
    <w:rsid w:val="00B55D14"/>
    <w:rsid w:val="00B561C2"/>
    <w:rsid w:val="00B56F23"/>
    <w:rsid w:val="00B570AE"/>
    <w:rsid w:val="00B57CD1"/>
    <w:rsid w:val="00B6426B"/>
    <w:rsid w:val="00B64528"/>
    <w:rsid w:val="00B64D26"/>
    <w:rsid w:val="00B65A64"/>
    <w:rsid w:val="00B66D8D"/>
    <w:rsid w:val="00B731CD"/>
    <w:rsid w:val="00B8094C"/>
    <w:rsid w:val="00B80F68"/>
    <w:rsid w:val="00B83141"/>
    <w:rsid w:val="00B83FDB"/>
    <w:rsid w:val="00B86F49"/>
    <w:rsid w:val="00B87642"/>
    <w:rsid w:val="00B90C3F"/>
    <w:rsid w:val="00B917AB"/>
    <w:rsid w:val="00B95846"/>
    <w:rsid w:val="00B95CA3"/>
    <w:rsid w:val="00B95E5D"/>
    <w:rsid w:val="00B96224"/>
    <w:rsid w:val="00BA18F0"/>
    <w:rsid w:val="00BA1924"/>
    <w:rsid w:val="00BA5E44"/>
    <w:rsid w:val="00BA7304"/>
    <w:rsid w:val="00BB03B4"/>
    <w:rsid w:val="00BB0585"/>
    <w:rsid w:val="00BB0ADB"/>
    <w:rsid w:val="00BB2352"/>
    <w:rsid w:val="00BB6710"/>
    <w:rsid w:val="00BC5BA9"/>
    <w:rsid w:val="00BC74B6"/>
    <w:rsid w:val="00BD75C2"/>
    <w:rsid w:val="00BE0BBB"/>
    <w:rsid w:val="00BF02F5"/>
    <w:rsid w:val="00BF2EA0"/>
    <w:rsid w:val="00BF3D64"/>
    <w:rsid w:val="00BF593B"/>
    <w:rsid w:val="00BF637E"/>
    <w:rsid w:val="00C0127A"/>
    <w:rsid w:val="00C012A1"/>
    <w:rsid w:val="00C0149D"/>
    <w:rsid w:val="00C062F7"/>
    <w:rsid w:val="00C073B5"/>
    <w:rsid w:val="00C10850"/>
    <w:rsid w:val="00C11AF3"/>
    <w:rsid w:val="00C1317A"/>
    <w:rsid w:val="00C14F1E"/>
    <w:rsid w:val="00C1616A"/>
    <w:rsid w:val="00C1632E"/>
    <w:rsid w:val="00C2233C"/>
    <w:rsid w:val="00C30B07"/>
    <w:rsid w:val="00C3189E"/>
    <w:rsid w:val="00C35C03"/>
    <w:rsid w:val="00C3772D"/>
    <w:rsid w:val="00C37A65"/>
    <w:rsid w:val="00C43339"/>
    <w:rsid w:val="00C44E71"/>
    <w:rsid w:val="00C503E9"/>
    <w:rsid w:val="00C51543"/>
    <w:rsid w:val="00C516BB"/>
    <w:rsid w:val="00C53944"/>
    <w:rsid w:val="00C54E0D"/>
    <w:rsid w:val="00C568EB"/>
    <w:rsid w:val="00C5760A"/>
    <w:rsid w:val="00C57FCF"/>
    <w:rsid w:val="00C61DFA"/>
    <w:rsid w:val="00C62AF1"/>
    <w:rsid w:val="00C635A4"/>
    <w:rsid w:val="00C70094"/>
    <w:rsid w:val="00C70709"/>
    <w:rsid w:val="00C70DC1"/>
    <w:rsid w:val="00C710A0"/>
    <w:rsid w:val="00C71962"/>
    <w:rsid w:val="00C72EF2"/>
    <w:rsid w:val="00C73F88"/>
    <w:rsid w:val="00C74806"/>
    <w:rsid w:val="00C750B9"/>
    <w:rsid w:val="00C75870"/>
    <w:rsid w:val="00C76131"/>
    <w:rsid w:val="00C77F0A"/>
    <w:rsid w:val="00C8309B"/>
    <w:rsid w:val="00C925CE"/>
    <w:rsid w:val="00C93BB4"/>
    <w:rsid w:val="00C942A2"/>
    <w:rsid w:val="00C9440A"/>
    <w:rsid w:val="00C947D1"/>
    <w:rsid w:val="00C965B0"/>
    <w:rsid w:val="00C97622"/>
    <w:rsid w:val="00CA1096"/>
    <w:rsid w:val="00CA3420"/>
    <w:rsid w:val="00CA3E88"/>
    <w:rsid w:val="00CB047D"/>
    <w:rsid w:val="00CB1119"/>
    <w:rsid w:val="00CB1171"/>
    <w:rsid w:val="00CB19D3"/>
    <w:rsid w:val="00CB4AB7"/>
    <w:rsid w:val="00CB580C"/>
    <w:rsid w:val="00CB6285"/>
    <w:rsid w:val="00CC0052"/>
    <w:rsid w:val="00CC289A"/>
    <w:rsid w:val="00CC2A01"/>
    <w:rsid w:val="00CC3BB8"/>
    <w:rsid w:val="00CC5947"/>
    <w:rsid w:val="00CC662C"/>
    <w:rsid w:val="00CD42B9"/>
    <w:rsid w:val="00CD5958"/>
    <w:rsid w:val="00CD790A"/>
    <w:rsid w:val="00CE107A"/>
    <w:rsid w:val="00CE14D3"/>
    <w:rsid w:val="00CE526D"/>
    <w:rsid w:val="00CE7D0E"/>
    <w:rsid w:val="00CF0002"/>
    <w:rsid w:val="00CF0409"/>
    <w:rsid w:val="00CF0654"/>
    <w:rsid w:val="00CF1EF9"/>
    <w:rsid w:val="00CF2410"/>
    <w:rsid w:val="00CF59B2"/>
    <w:rsid w:val="00CF656D"/>
    <w:rsid w:val="00D00268"/>
    <w:rsid w:val="00D01FCB"/>
    <w:rsid w:val="00D0220B"/>
    <w:rsid w:val="00D0384D"/>
    <w:rsid w:val="00D039FA"/>
    <w:rsid w:val="00D05078"/>
    <w:rsid w:val="00D06137"/>
    <w:rsid w:val="00D075A1"/>
    <w:rsid w:val="00D12287"/>
    <w:rsid w:val="00D20BD9"/>
    <w:rsid w:val="00D21073"/>
    <w:rsid w:val="00D22C5D"/>
    <w:rsid w:val="00D233C0"/>
    <w:rsid w:val="00D252D6"/>
    <w:rsid w:val="00D30775"/>
    <w:rsid w:val="00D30E72"/>
    <w:rsid w:val="00D31C89"/>
    <w:rsid w:val="00D32064"/>
    <w:rsid w:val="00D35EEF"/>
    <w:rsid w:val="00D363F4"/>
    <w:rsid w:val="00D411E7"/>
    <w:rsid w:val="00D434B8"/>
    <w:rsid w:val="00D43F79"/>
    <w:rsid w:val="00D449AA"/>
    <w:rsid w:val="00D45099"/>
    <w:rsid w:val="00D537C5"/>
    <w:rsid w:val="00D543A7"/>
    <w:rsid w:val="00D55C21"/>
    <w:rsid w:val="00D56CC2"/>
    <w:rsid w:val="00D62B2C"/>
    <w:rsid w:val="00D653B6"/>
    <w:rsid w:val="00D66679"/>
    <w:rsid w:val="00D72685"/>
    <w:rsid w:val="00D72CEF"/>
    <w:rsid w:val="00D72D3B"/>
    <w:rsid w:val="00D74C10"/>
    <w:rsid w:val="00D75406"/>
    <w:rsid w:val="00D773A0"/>
    <w:rsid w:val="00D7752E"/>
    <w:rsid w:val="00D8089D"/>
    <w:rsid w:val="00D82372"/>
    <w:rsid w:val="00D828BB"/>
    <w:rsid w:val="00D84F06"/>
    <w:rsid w:val="00D84F11"/>
    <w:rsid w:val="00D860DD"/>
    <w:rsid w:val="00D873D2"/>
    <w:rsid w:val="00D8764F"/>
    <w:rsid w:val="00D90430"/>
    <w:rsid w:val="00D953B8"/>
    <w:rsid w:val="00D967AB"/>
    <w:rsid w:val="00DA19EE"/>
    <w:rsid w:val="00DA3288"/>
    <w:rsid w:val="00DA7F28"/>
    <w:rsid w:val="00DB0DE8"/>
    <w:rsid w:val="00DB4D34"/>
    <w:rsid w:val="00DB7404"/>
    <w:rsid w:val="00DC1281"/>
    <w:rsid w:val="00DC2C8E"/>
    <w:rsid w:val="00DC430D"/>
    <w:rsid w:val="00DD1DE5"/>
    <w:rsid w:val="00DD2991"/>
    <w:rsid w:val="00DD2B51"/>
    <w:rsid w:val="00DD70D6"/>
    <w:rsid w:val="00DE0325"/>
    <w:rsid w:val="00DE0A52"/>
    <w:rsid w:val="00DE2FBE"/>
    <w:rsid w:val="00DE3E8C"/>
    <w:rsid w:val="00DF07FA"/>
    <w:rsid w:val="00DF20F4"/>
    <w:rsid w:val="00DF23ED"/>
    <w:rsid w:val="00DF36E2"/>
    <w:rsid w:val="00DF3D61"/>
    <w:rsid w:val="00DF4425"/>
    <w:rsid w:val="00DF543B"/>
    <w:rsid w:val="00E00AE6"/>
    <w:rsid w:val="00E01AAF"/>
    <w:rsid w:val="00E03431"/>
    <w:rsid w:val="00E04002"/>
    <w:rsid w:val="00E062F6"/>
    <w:rsid w:val="00E070A8"/>
    <w:rsid w:val="00E10490"/>
    <w:rsid w:val="00E118BB"/>
    <w:rsid w:val="00E12A06"/>
    <w:rsid w:val="00E13351"/>
    <w:rsid w:val="00E13C93"/>
    <w:rsid w:val="00E20BF5"/>
    <w:rsid w:val="00E23F6F"/>
    <w:rsid w:val="00E24734"/>
    <w:rsid w:val="00E24CBF"/>
    <w:rsid w:val="00E24EB7"/>
    <w:rsid w:val="00E250EF"/>
    <w:rsid w:val="00E2511A"/>
    <w:rsid w:val="00E30F46"/>
    <w:rsid w:val="00E343B7"/>
    <w:rsid w:val="00E37D66"/>
    <w:rsid w:val="00E37F6B"/>
    <w:rsid w:val="00E401D9"/>
    <w:rsid w:val="00E42A15"/>
    <w:rsid w:val="00E43091"/>
    <w:rsid w:val="00E45083"/>
    <w:rsid w:val="00E512F9"/>
    <w:rsid w:val="00E51A38"/>
    <w:rsid w:val="00E60E7C"/>
    <w:rsid w:val="00E67AD2"/>
    <w:rsid w:val="00E72735"/>
    <w:rsid w:val="00E72E06"/>
    <w:rsid w:val="00E73D58"/>
    <w:rsid w:val="00E76371"/>
    <w:rsid w:val="00E76C84"/>
    <w:rsid w:val="00E8002B"/>
    <w:rsid w:val="00E80883"/>
    <w:rsid w:val="00E80FD5"/>
    <w:rsid w:val="00E8249E"/>
    <w:rsid w:val="00E83C08"/>
    <w:rsid w:val="00E859A7"/>
    <w:rsid w:val="00E928B0"/>
    <w:rsid w:val="00E942B9"/>
    <w:rsid w:val="00EA2EB9"/>
    <w:rsid w:val="00EA6E56"/>
    <w:rsid w:val="00EA791F"/>
    <w:rsid w:val="00EB2B00"/>
    <w:rsid w:val="00EB30C6"/>
    <w:rsid w:val="00EB3405"/>
    <w:rsid w:val="00EB5AE8"/>
    <w:rsid w:val="00EC04FD"/>
    <w:rsid w:val="00EC09B2"/>
    <w:rsid w:val="00EC31C0"/>
    <w:rsid w:val="00ED0E55"/>
    <w:rsid w:val="00ED1472"/>
    <w:rsid w:val="00ED1C54"/>
    <w:rsid w:val="00ED40C7"/>
    <w:rsid w:val="00EE10A1"/>
    <w:rsid w:val="00EE33B4"/>
    <w:rsid w:val="00EE5492"/>
    <w:rsid w:val="00EE54F2"/>
    <w:rsid w:val="00EE741F"/>
    <w:rsid w:val="00EF1CED"/>
    <w:rsid w:val="00EF485B"/>
    <w:rsid w:val="00EF5611"/>
    <w:rsid w:val="00EF70F6"/>
    <w:rsid w:val="00F03016"/>
    <w:rsid w:val="00F045F9"/>
    <w:rsid w:val="00F06768"/>
    <w:rsid w:val="00F07FF3"/>
    <w:rsid w:val="00F11EE8"/>
    <w:rsid w:val="00F12A58"/>
    <w:rsid w:val="00F16011"/>
    <w:rsid w:val="00F161F2"/>
    <w:rsid w:val="00F1696F"/>
    <w:rsid w:val="00F171E4"/>
    <w:rsid w:val="00F176FB"/>
    <w:rsid w:val="00F210EC"/>
    <w:rsid w:val="00F2351D"/>
    <w:rsid w:val="00F2413B"/>
    <w:rsid w:val="00F257B5"/>
    <w:rsid w:val="00F26181"/>
    <w:rsid w:val="00F30792"/>
    <w:rsid w:val="00F33972"/>
    <w:rsid w:val="00F36BEB"/>
    <w:rsid w:val="00F3797B"/>
    <w:rsid w:val="00F4038A"/>
    <w:rsid w:val="00F45847"/>
    <w:rsid w:val="00F45B2B"/>
    <w:rsid w:val="00F474EE"/>
    <w:rsid w:val="00F51151"/>
    <w:rsid w:val="00F547F6"/>
    <w:rsid w:val="00F54AB7"/>
    <w:rsid w:val="00F55265"/>
    <w:rsid w:val="00F5549A"/>
    <w:rsid w:val="00F62DF0"/>
    <w:rsid w:val="00F6617B"/>
    <w:rsid w:val="00F75DFF"/>
    <w:rsid w:val="00F8022A"/>
    <w:rsid w:val="00F82B55"/>
    <w:rsid w:val="00F84EB0"/>
    <w:rsid w:val="00F85836"/>
    <w:rsid w:val="00F85AAF"/>
    <w:rsid w:val="00F941D9"/>
    <w:rsid w:val="00F950C7"/>
    <w:rsid w:val="00FA1577"/>
    <w:rsid w:val="00FA45B1"/>
    <w:rsid w:val="00FA688C"/>
    <w:rsid w:val="00FA721B"/>
    <w:rsid w:val="00FB1559"/>
    <w:rsid w:val="00FB16F5"/>
    <w:rsid w:val="00FC1FED"/>
    <w:rsid w:val="00FC4F3B"/>
    <w:rsid w:val="00FC7534"/>
    <w:rsid w:val="00FD13B6"/>
    <w:rsid w:val="00FD2E2A"/>
    <w:rsid w:val="00FD580D"/>
    <w:rsid w:val="00FE22AA"/>
    <w:rsid w:val="00FE3118"/>
    <w:rsid w:val="00FE34BA"/>
    <w:rsid w:val="00FE4B41"/>
    <w:rsid w:val="00FE6F53"/>
    <w:rsid w:val="00FE7CB3"/>
    <w:rsid w:val="00FF0318"/>
    <w:rsid w:val="00FF0728"/>
    <w:rsid w:val="00FF0C91"/>
    <w:rsid w:val="00FF13C4"/>
    <w:rsid w:val="00FF141A"/>
    <w:rsid w:val="00FF5959"/>
    <w:rsid w:val="00FF6827"/>
    <w:rsid w:val="00FF696E"/>
    <w:rsid w:val="00FF78FF"/>
    <w:rsid w:val="00FF7E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5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lsdException w:name="Title" w:semiHidden="0" w:uiPriority="0" w:unhideWhenUsed="0" w:qFormat="1"/>
    <w:lsdException w:name="Default Paragraph Font" w:uiPriority="1"/>
    <w:lsdException w:name="Subtitle" w:semiHidden="0" w:uiPriority="2" w:unhideWhenUsed="0"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34A7"/>
    <w:rPr>
      <w:rFonts w:ascii="Calibri" w:hAnsi="Calibri" w:cs="Times New Roman"/>
      <w:szCs w:val="24"/>
    </w:rPr>
  </w:style>
  <w:style w:type="paragraph" w:styleId="Heading1">
    <w:name w:val="heading 1"/>
    <w:basedOn w:val="Normal"/>
    <w:next w:val="Normal"/>
    <w:link w:val="Heading1Char"/>
    <w:uiPriority w:val="9"/>
    <w:qFormat/>
    <w:rsid w:val="00B2715B"/>
    <w:pPr>
      <w:keepNext/>
      <w:spacing w:after="240"/>
      <w:outlineLvl w:val="0"/>
    </w:pPr>
    <w:rPr>
      <w:rFonts w:eastAsia="Times New Roman"/>
      <w:b/>
      <w:caps/>
      <w:sz w:val="32"/>
      <w:szCs w:val="20"/>
      <w:lang w:eastAsia="en-AU"/>
    </w:rPr>
  </w:style>
  <w:style w:type="paragraph" w:styleId="Heading2">
    <w:name w:val="heading 2"/>
    <w:basedOn w:val="Normal"/>
    <w:next w:val="Normal"/>
    <w:link w:val="Heading2Char"/>
    <w:uiPriority w:val="9"/>
    <w:unhideWhenUsed/>
    <w:qFormat/>
    <w:rsid w:val="00B2715B"/>
    <w:pPr>
      <w:keepNext/>
      <w:spacing w:before="120" w:after="240"/>
      <w:outlineLvl w:val="1"/>
    </w:pPr>
    <w:rPr>
      <w:b/>
      <w:sz w:val="32"/>
    </w:rPr>
  </w:style>
  <w:style w:type="paragraph" w:styleId="Heading3">
    <w:name w:val="heading 3"/>
    <w:basedOn w:val="Normal"/>
    <w:next w:val="Normal"/>
    <w:link w:val="Heading3Char"/>
    <w:uiPriority w:val="9"/>
    <w:unhideWhenUsed/>
    <w:qFormat/>
    <w:rsid w:val="008461CD"/>
    <w:pPr>
      <w:keepNext/>
      <w:keepLines/>
      <w:spacing w:before="200" w:after="0"/>
      <w:outlineLvl w:val="2"/>
    </w:pPr>
    <w:rPr>
      <w:rFonts w:eastAsiaTheme="majorEastAsia" w:cstheme="majorBidi"/>
      <w:b/>
      <w:bCs/>
      <w:i/>
    </w:rPr>
  </w:style>
  <w:style w:type="paragraph" w:styleId="Heading4">
    <w:name w:val="heading 4"/>
    <w:basedOn w:val="Heading3"/>
    <w:next w:val="Normal"/>
    <w:link w:val="Heading4Char"/>
    <w:uiPriority w:val="9"/>
    <w:unhideWhenUsed/>
    <w:rsid w:val="008461CD"/>
    <w:pPr>
      <w:spacing w:after="120"/>
      <w:outlineLvl w:val="3"/>
    </w:pPr>
    <w:rPr>
      <w:b w:val="0"/>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715B"/>
    <w:rPr>
      <w:rFonts w:ascii="Times New Roman" w:hAnsi="Times New Roman" w:cs="Times New Roman"/>
      <w:b/>
      <w:sz w:val="32"/>
      <w:szCs w:val="24"/>
    </w:rPr>
  </w:style>
  <w:style w:type="paragraph" w:customStyle="1" w:styleId="ChartandTableFootnoteAlpha">
    <w:name w:val="Chart and Table Footnote Alpha"/>
    <w:basedOn w:val="Normal"/>
    <w:next w:val="Normal"/>
    <w:rsid w:val="00891FC4"/>
    <w:pPr>
      <w:keepLines/>
      <w:numPr>
        <w:numId w:val="2"/>
      </w:numPr>
      <w:spacing w:after="0"/>
      <w:jc w:val="both"/>
    </w:pPr>
    <w:rPr>
      <w:rFonts w:ascii="Arial" w:eastAsia="Times New Roman" w:hAnsi="Arial"/>
      <w:sz w:val="16"/>
      <w:szCs w:val="20"/>
      <w:lang w:eastAsia="en-AU"/>
    </w:rPr>
  </w:style>
  <w:style w:type="paragraph" w:styleId="Caption">
    <w:name w:val="caption"/>
    <w:basedOn w:val="Normal"/>
    <w:next w:val="Normal"/>
    <w:link w:val="CaptionChar"/>
    <w:rsid w:val="00891FC4"/>
    <w:pPr>
      <w:keepNext/>
      <w:keepLines/>
      <w:spacing w:line="260" w:lineRule="exact"/>
      <w:jc w:val="both"/>
    </w:pPr>
    <w:rPr>
      <w:rFonts w:eastAsia="Times New Roman"/>
      <w:b/>
      <w:bCs/>
      <w:szCs w:val="20"/>
      <w:lang w:eastAsia="en-AU"/>
    </w:rPr>
  </w:style>
  <w:style w:type="character" w:customStyle="1" w:styleId="CaptionChar">
    <w:name w:val="Caption Char"/>
    <w:basedOn w:val="DefaultParagraphFont"/>
    <w:link w:val="Caption"/>
    <w:locked/>
    <w:rsid w:val="00891FC4"/>
    <w:rPr>
      <w:rFonts w:ascii="Times New Roman" w:eastAsia="Times New Roman" w:hAnsi="Times New Roman" w:cs="Times New Roman"/>
      <w:b/>
      <w:bCs/>
      <w:sz w:val="24"/>
      <w:szCs w:val="20"/>
      <w:lang w:eastAsia="en-AU"/>
    </w:rPr>
  </w:style>
  <w:style w:type="character" w:customStyle="1" w:styleId="Heading1Char">
    <w:name w:val="Heading 1 Char"/>
    <w:basedOn w:val="DefaultParagraphFont"/>
    <w:link w:val="Heading1"/>
    <w:uiPriority w:val="9"/>
    <w:rsid w:val="00B2715B"/>
    <w:rPr>
      <w:rFonts w:ascii="Times New Roman" w:eastAsia="Times New Roman" w:hAnsi="Times New Roman" w:cs="Times New Roman"/>
      <w:b/>
      <w:caps/>
      <w:sz w:val="32"/>
      <w:szCs w:val="20"/>
      <w:lang w:eastAsia="en-AU"/>
    </w:rPr>
  </w:style>
  <w:style w:type="character" w:customStyle="1" w:styleId="Heading4Char">
    <w:name w:val="Heading 4 Char"/>
    <w:basedOn w:val="DefaultParagraphFont"/>
    <w:link w:val="Heading4"/>
    <w:uiPriority w:val="9"/>
    <w:rsid w:val="008461CD"/>
    <w:rPr>
      <w:rFonts w:ascii="Times New Roman" w:eastAsiaTheme="majorEastAsia" w:hAnsi="Times New Roman" w:cstheme="majorBidi"/>
      <w:i/>
      <w:iCs/>
      <w:sz w:val="24"/>
      <w:szCs w:val="24"/>
    </w:rPr>
  </w:style>
  <w:style w:type="character" w:customStyle="1" w:styleId="Heading3Char">
    <w:name w:val="Heading 3 Char"/>
    <w:basedOn w:val="DefaultParagraphFont"/>
    <w:link w:val="Heading3"/>
    <w:uiPriority w:val="9"/>
    <w:rsid w:val="008461CD"/>
    <w:rPr>
      <w:rFonts w:ascii="Times New Roman" w:eastAsiaTheme="majorEastAsia" w:hAnsi="Times New Roman" w:cstheme="majorBidi"/>
      <w:b/>
      <w:bCs/>
      <w:i/>
      <w:sz w:val="24"/>
      <w:szCs w:val="24"/>
    </w:rPr>
  </w:style>
  <w:style w:type="table" w:styleId="TableGrid">
    <w:name w:val="Table Grid"/>
    <w:basedOn w:val="TableNormal"/>
    <w:rsid w:val="00891FC4"/>
    <w:pPr>
      <w:keepNext/>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ormabullet">
    <w:name w:val="Pro forma bullet"/>
    <w:basedOn w:val="Normal"/>
    <w:qFormat/>
    <w:rsid w:val="00891FC4"/>
    <w:pPr>
      <w:spacing w:before="80" w:after="80" w:line="260" w:lineRule="exact"/>
    </w:pPr>
    <w:rPr>
      <w:rFonts w:eastAsia="Times New Roman"/>
      <w:szCs w:val="20"/>
      <w:lang w:eastAsia="en-AU"/>
    </w:rPr>
  </w:style>
  <w:style w:type="paragraph" w:styleId="Header">
    <w:name w:val="header"/>
    <w:basedOn w:val="Normal"/>
    <w:link w:val="HeaderChar"/>
    <w:uiPriority w:val="99"/>
    <w:unhideWhenUsed/>
    <w:rsid w:val="00770BB2"/>
    <w:pPr>
      <w:tabs>
        <w:tab w:val="center" w:pos="4513"/>
        <w:tab w:val="right" w:pos="9026"/>
      </w:tabs>
      <w:spacing w:after="0"/>
    </w:pPr>
  </w:style>
  <w:style w:type="character" w:customStyle="1" w:styleId="HeaderChar">
    <w:name w:val="Header Char"/>
    <w:basedOn w:val="DefaultParagraphFont"/>
    <w:link w:val="Header"/>
    <w:uiPriority w:val="99"/>
    <w:rsid w:val="00770BB2"/>
    <w:rPr>
      <w:rFonts w:ascii="Times New Roman" w:hAnsi="Times New Roman" w:cs="Times New Roman"/>
      <w:sz w:val="24"/>
      <w:szCs w:val="24"/>
    </w:rPr>
  </w:style>
  <w:style w:type="paragraph" w:styleId="Footer">
    <w:name w:val="footer"/>
    <w:aliases w:val="PBO HeaderFooter"/>
    <w:basedOn w:val="Normal"/>
    <w:link w:val="FooterChar"/>
    <w:uiPriority w:val="99"/>
    <w:unhideWhenUsed/>
    <w:qFormat/>
    <w:rsid w:val="00770BB2"/>
    <w:pPr>
      <w:tabs>
        <w:tab w:val="center" w:pos="4513"/>
        <w:tab w:val="right" w:pos="9026"/>
      </w:tabs>
      <w:spacing w:after="0"/>
    </w:pPr>
  </w:style>
  <w:style w:type="character" w:customStyle="1" w:styleId="FooterChar">
    <w:name w:val="Footer Char"/>
    <w:aliases w:val="PBO HeaderFooter Char"/>
    <w:basedOn w:val="DefaultParagraphFont"/>
    <w:link w:val="Footer"/>
    <w:uiPriority w:val="99"/>
    <w:rsid w:val="00770BB2"/>
    <w:rPr>
      <w:rFonts w:ascii="Times New Roman" w:hAnsi="Times New Roman" w:cs="Times New Roman"/>
      <w:sz w:val="24"/>
      <w:szCs w:val="24"/>
    </w:rPr>
  </w:style>
  <w:style w:type="character" w:styleId="IntenseReference">
    <w:name w:val="Intense Reference"/>
    <w:aliases w:val="DLM style"/>
    <w:basedOn w:val="DefaultParagraphFont"/>
    <w:uiPriority w:val="32"/>
    <w:qFormat/>
    <w:rsid w:val="00770BB2"/>
    <w:rPr>
      <w:rFonts w:ascii="Arial" w:hAnsi="Arial"/>
      <w:b/>
      <w:bCs/>
      <w:caps w:val="0"/>
      <w:smallCaps w:val="0"/>
      <w:color w:val="FF0000"/>
      <w:spacing w:val="5"/>
      <w:sz w:val="28"/>
      <w:u w:val="single"/>
    </w:rPr>
  </w:style>
  <w:style w:type="character" w:styleId="SubtleReference">
    <w:name w:val="Subtle Reference"/>
    <w:basedOn w:val="DefaultParagraphFont"/>
    <w:uiPriority w:val="31"/>
    <w:rsid w:val="00770BB2"/>
    <w:rPr>
      <w:smallCaps/>
      <w:color w:val="C0504D" w:themeColor="accent2"/>
      <w:u w:val="single"/>
    </w:rPr>
  </w:style>
  <w:style w:type="paragraph" w:styleId="BalloonText">
    <w:name w:val="Balloon Text"/>
    <w:basedOn w:val="Normal"/>
    <w:link w:val="BalloonTextChar"/>
    <w:uiPriority w:val="99"/>
    <w:semiHidden/>
    <w:unhideWhenUsed/>
    <w:rsid w:val="009B08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812"/>
    <w:rPr>
      <w:rFonts w:ascii="Tahoma" w:hAnsi="Tahoma" w:cs="Tahoma"/>
      <w:sz w:val="16"/>
      <w:szCs w:val="16"/>
    </w:rPr>
  </w:style>
  <w:style w:type="paragraph" w:styleId="Subtitle">
    <w:name w:val="Subtitle"/>
    <w:aliases w:val="PBO Subtitle"/>
    <w:basedOn w:val="Normal"/>
    <w:next w:val="Normal"/>
    <w:link w:val="SubtitleChar"/>
    <w:uiPriority w:val="2"/>
    <w:qFormat/>
    <w:rsid w:val="00A734A7"/>
    <w:pPr>
      <w:keepNext/>
      <w:keepLines/>
      <w:spacing w:before="480" w:after="0"/>
    </w:pPr>
    <w:rPr>
      <w:rFonts w:ascii="Georgia" w:eastAsiaTheme="majorEastAsia" w:hAnsi="Georgia" w:cstheme="majorBidi"/>
      <w:bCs/>
      <w:color w:val="264A76"/>
      <w:sz w:val="32"/>
      <w:szCs w:val="32"/>
      <w:lang w:eastAsia="en-AU"/>
    </w:rPr>
  </w:style>
  <w:style w:type="character" w:customStyle="1" w:styleId="SubtitleChar">
    <w:name w:val="Subtitle Char"/>
    <w:aliases w:val="PBO Subtitle Char"/>
    <w:basedOn w:val="DefaultParagraphFont"/>
    <w:link w:val="Subtitle"/>
    <w:uiPriority w:val="2"/>
    <w:rsid w:val="00A734A7"/>
    <w:rPr>
      <w:rFonts w:ascii="Georgia" w:eastAsiaTheme="majorEastAsia" w:hAnsi="Georgia" w:cstheme="majorBidi"/>
      <w:bCs/>
      <w:color w:val="264A76"/>
      <w:sz w:val="32"/>
      <w:szCs w:val="32"/>
      <w:lang w:eastAsia="en-AU"/>
    </w:rPr>
  </w:style>
  <w:style w:type="paragraph" w:styleId="ListParagraph">
    <w:name w:val="List Paragraph"/>
    <w:basedOn w:val="Normal"/>
    <w:link w:val="ListParagraphChar"/>
    <w:uiPriority w:val="34"/>
    <w:qFormat/>
    <w:rsid w:val="009B6788"/>
    <w:pPr>
      <w:ind w:left="720"/>
      <w:contextualSpacing/>
    </w:pPr>
  </w:style>
  <w:style w:type="character" w:styleId="SubtleEmphasis">
    <w:name w:val="Subtle Emphasis"/>
    <w:aliases w:val="Bullet level 1"/>
    <w:uiPriority w:val="19"/>
    <w:rsid w:val="00492FE0"/>
    <w:rPr>
      <w:lang w:eastAsia="en-AU"/>
    </w:rPr>
  </w:style>
  <w:style w:type="paragraph" w:customStyle="1" w:styleId="Bullet1">
    <w:name w:val="Bullet 1"/>
    <w:basedOn w:val="Normal"/>
    <w:link w:val="Bullet1Char"/>
    <w:qFormat/>
    <w:rsid w:val="002565D1"/>
    <w:pPr>
      <w:numPr>
        <w:numId w:val="3"/>
      </w:numPr>
    </w:pPr>
  </w:style>
  <w:style w:type="paragraph" w:customStyle="1" w:styleId="Bullet2">
    <w:name w:val="Bullet 2"/>
    <w:basedOn w:val="NormalWeb"/>
    <w:link w:val="Bullet2Char"/>
    <w:uiPriority w:val="99"/>
    <w:qFormat/>
    <w:rsid w:val="002565D1"/>
    <w:pPr>
      <w:numPr>
        <w:ilvl w:val="1"/>
        <w:numId w:val="3"/>
      </w:numPr>
      <w:ind w:left="568" w:hanging="284"/>
    </w:pPr>
    <w:rPr>
      <w:lang w:eastAsia="en-AU"/>
    </w:rPr>
  </w:style>
  <w:style w:type="character" w:customStyle="1" w:styleId="ListParagraphChar">
    <w:name w:val="List Paragraph Char"/>
    <w:basedOn w:val="DefaultParagraphFont"/>
    <w:link w:val="ListParagraph"/>
    <w:uiPriority w:val="34"/>
    <w:rsid w:val="002565D1"/>
    <w:rPr>
      <w:rFonts w:ascii="Times New Roman" w:hAnsi="Times New Roman" w:cs="Times New Roman"/>
      <w:sz w:val="24"/>
      <w:szCs w:val="24"/>
    </w:rPr>
  </w:style>
  <w:style w:type="character" w:customStyle="1" w:styleId="Bullet1Char">
    <w:name w:val="Bullet 1 Char"/>
    <w:basedOn w:val="ListParagraphChar"/>
    <w:link w:val="Bullet1"/>
    <w:rsid w:val="00BF3D64"/>
    <w:rPr>
      <w:rFonts w:ascii="Calibri" w:hAnsi="Calibri" w:cs="Times New Roman"/>
      <w:sz w:val="24"/>
      <w:szCs w:val="24"/>
    </w:rPr>
  </w:style>
  <w:style w:type="paragraph" w:customStyle="1" w:styleId="Bullet3">
    <w:name w:val="Bullet 3"/>
    <w:basedOn w:val="NormalWeb"/>
    <w:link w:val="Bullet3Char"/>
    <w:uiPriority w:val="99"/>
    <w:qFormat/>
    <w:rsid w:val="002565D1"/>
    <w:pPr>
      <w:numPr>
        <w:ilvl w:val="2"/>
        <w:numId w:val="3"/>
      </w:numPr>
      <w:ind w:left="851" w:hanging="284"/>
    </w:pPr>
    <w:rPr>
      <w:lang w:eastAsia="en-AU"/>
    </w:rPr>
  </w:style>
  <w:style w:type="character" w:customStyle="1" w:styleId="Bullet2Char">
    <w:name w:val="Bullet 2 Char"/>
    <w:basedOn w:val="ListParagraphChar"/>
    <w:link w:val="Bullet2"/>
    <w:rsid w:val="00BF3D64"/>
    <w:rPr>
      <w:rFonts w:ascii="Times New Roman" w:hAnsi="Times New Roman" w:cs="Times New Roman"/>
      <w:sz w:val="24"/>
      <w:szCs w:val="24"/>
      <w:lang w:eastAsia="en-AU"/>
    </w:rPr>
  </w:style>
  <w:style w:type="paragraph" w:customStyle="1" w:styleId="Bullet4">
    <w:name w:val="Bullet 4"/>
    <w:basedOn w:val="ListParagraph"/>
    <w:next w:val="Normal"/>
    <w:link w:val="Bullet4Char"/>
    <w:uiPriority w:val="99"/>
    <w:qFormat/>
    <w:rsid w:val="002565D1"/>
    <w:pPr>
      <w:numPr>
        <w:ilvl w:val="3"/>
        <w:numId w:val="3"/>
      </w:numPr>
      <w:ind w:left="1135" w:hanging="284"/>
    </w:pPr>
    <w:rPr>
      <w:lang w:eastAsia="en-AU"/>
    </w:rPr>
  </w:style>
  <w:style w:type="character" w:customStyle="1" w:styleId="Bullet3Char">
    <w:name w:val="Bullet 3 Char"/>
    <w:basedOn w:val="ListParagraphChar"/>
    <w:link w:val="Bullet3"/>
    <w:rsid w:val="00BF3D64"/>
    <w:rPr>
      <w:rFonts w:ascii="Times New Roman" w:hAnsi="Times New Roman" w:cs="Times New Roman"/>
      <w:sz w:val="24"/>
      <w:szCs w:val="24"/>
      <w:lang w:eastAsia="en-AU"/>
    </w:rPr>
  </w:style>
  <w:style w:type="paragraph" w:customStyle="1" w:styleId="Bullet5">
    <w:name w:val="Bullet 5"/>
    <w:basedOn w:val="ListParagraph"/>
    <w:next w:val="Normal"/>
    <w:link w:val="Bullet5Char"/>
    <w:uiPriority w:val="99"/>
    <w:qFormat/>
    <w:rsid w:val="002565D1"/>
    <w:pPr>
      <w:numPr>
        <w:ilvl w:val="4"/>
        <w:numId w:val="3"/>
      </w:numPr>
      <w:ind w:left="1418" w:hanging="284"/>
    </w:pPr>
    <w:rPr>
      <w:lang w:eastAsia="en-AU"/>
    </w:rPr>
  </w:style>
  <w:style w:type="character" w:customStyle="1" w:styleId="Bullet4Char">
    <w:name w:val="Bullet 4 Char"/>
    <w:basedOn w:val="ListParagraphChar"/>
    <w:link w:val="Bullet4"/>
    <w:rsid w:val="002565D1"/>
    <w:rPr>
      <w:rFonts w:ascii="Times New Roman" w:hAnsi="Times New Roman" w:cs="Times New Roman"/>
      <w:sz w:val="24"/>
      <w:szCs w:val="24"/>
      <w:lang w:eastAsia="en-AU"/>
    </w:rPr>
  </w:style>
  <w:style w:type="character" w:customStyle="1" w:styleId="Bullet5Char">
    <w:name w:val="Bullet 5 Char"/>
    <w:basedOn w:val="ListParagraphChar"/>
    <w:link w:val="Bullet5"/>
    <w:rsid w:val="002565D1"/>
    <w:rPr>
      <w:rFonts w:ascii="Times New Roman" w:hAnsi="Times New Roman" w:cs="Times New Roman"/>
      <w:sz w:val="24"/>
      <w:szCs w:val="24"/>
      <w:lang w:eastAsia="en-AU"/>
    </w:rPr>
  </w:style>
  <w:style w:type="paragraph" w:styleId="NormalWeb">
    <w:name w:val="Normal (Web)"/>
    <w:basedOn w:val="Normal"/>
    <w:uiPriority w:val="99"/>
    <w:semiHidden/>
    <w:unhideWhenUsed/>
    <w:rsid w:val="00BF3D64"/>
  </w:style>
  <w:style w:type="character" w:styleId="CommentReference">
    <w:name w:val="annotation reference"/>
    <w:basedOn w:val="DefaultParagraphFont"/>
    <w:uiPriority w:val="99"/>
    <w:semiHidden/>
    <w:unhideWhenUsed/>
    <w:rsid w:val="00DE3E8C"/>
    <w:rPr>
      <w:sz w:val="16"/>
      <w:szCs w:val="16"/>
    </w:rPr>
  </w:style>
  <w:style w:type="paragraph" w:styleId="CommentText">
    <w:name w:val="annotation text"/>
    <w:basedOn w:val="Normal"/>
    <w:link w:val="CommentTextChar"/>
    <w:uiPriority w:val="99"/>
    <w:unhideWhenUsed/>
    <w:rsid w:val="00DE3E8C"/>
    <w:rPr>
      <w:sz w:val="20"/>
      <w:szCs w:val="20"/>
    </w:rPr>
  </w:style>
  <w:style w:type="character" w:customStyle="1" w:styleId="CommentTextChar">
    <w:name w:val="Comment Text Char"/>
    <w:basedOn w:val="DefaultParagraphFont"/>
    <w:link w:val="CommentText"/>
    <w:uiPriority w:val="99"/>
    <w:rsid w:val="00DE3E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E8C"/>
    <w:rPr>
      <w:b/>
      <w:bCs/>
    </w:rPr>
  </w:style>
  <w:style w:type="character" w:customStyle="1" w:styleId="CommentSubjectChar">
    <w:name w:val="Comment Subject Char"/>
    <w:basedOn w:val="CommentTextChar"/>
    <w:link w:val="CommentSubject"/>
    <w:uiPriority w:val="99"/>
    <w:semiHidden/>
    <w:rsid w:val="00DE3E8C"/>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681078"/>
    <w:pPr>
      <w:spacing w:after="0"/>
    </w:pPr>
    <w:rPr>
      <w:sz w:val="20"/>
      <w:szCs w:val="20"/>
    </w:rPr>
  </w:style>
  <w:style w:type="character" w:customStyle="1" w:styleId="FootnoteTextChar">
    <w:name w:val="Footnote Text Char"/>
    <w:basedOn w:val="DefaultParagraphFont"/>
    <w:link w:val="FootnoteText"/>
    <w:uiPriority w:val="99"/>
    <w:semiHidden/>
    <w:rsid w:val="0068107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81078"/>
    <w:rPr>
      <w:vertAlign w:val="superscript"/>
    </w:rPr>
  </w:style>
  <w:style w:type="paragraph" w:styleId="Revision">
    <w:name w:val="Revision"/>
    <w:hidden/>
    <w:uiPriority w:val="99"/>
    <w:semiHidden/>
    <w:rsid w:val="00395A4E"/>
    <w:pPr>
      <w:spacing w:after="0"/>
    </w:pPr>
    <w:rPr>
      <w:rFonts w:ascii="Times New Roman" w:hAnsi="Times New Roman" w:cs="Times New Roman"/>
      <w:sz w:val="24"/>
      <w:szCs w:val="24"/>
    </w:rPr>
  </w:style>
  <w:style w:type="paragraph" w:styleId="Title">
    <w:name w:val="Title"/>
    <w:aliases w:val="PBO Title"/>
    <w:basedOn w:val="Heading1"/>
    <w:next w:val="Subtitle"/>
    <w:link w:val="TitleChar"/>
    <w:qFormat/>
    <w:rsid w:val="00A734A7"/>
    <w:pPr>
      <w:spacing w:before="4300" w:after="60"/>
      <w:outlineLvl w:val="9"/>
    </w:pPr>
    <w:rPr>
      <w:rFonts w:ascii="Georgia" w:hAnsi="Georgia"/>
      <w:b w:val="0"/>
      <w:bCs/>
      <w:caps w:val="0"/>
      <w:color w:val="264A76"/>
      <w:kern w:val="32"/>
      <w:sz w:val="44"/>
      <w:szCs w:val="44"/>
    </w:rPr>
  </w:style>
  <w:style w:type="character" w:customStyle="1" w:styleId="TitleChar">
    <w:name w:val="Title Char"/>
    <w:aliases w:val="PBO Title Char"/>
    <w:basedOn w:val="DefaultParagraphFont"/>
    <w:link w:val="Title"/>
    <w:rsid w:val="00A734A7"/>
    <w:rPr>
      <w:rFonts w:ascii="Georgia" w:eastAsia="Times New Roman" w:hAnsi="Georgia" w:cs="Times New Roman"/>
      <w:bCs/>
      <w:color w:val="264A76"/>
      <w:kern w:val="32"/>
      <w:sz w:val="44"/>
      <w:szCs w:val="44"/>
      <w:lang w:eastAsia="en-AU"/>
    </w:rPr>
  </w:style>
  <w:style w:type="paragraph" w:customStyle="1" w:styleId="PBOheading1">
    <w:name w:val="PBO heading 1"/>
    <w:basedOn w:val="Heading1"/>
    <w:next w:val="Normal"/>
    <w:uiPriority w:val="1"/>
    <w:qFormat/>
    <w:rsid w:val="00A55569"/>
    <w:pPr>
      <w:spacing w:before="680" w:after="480"/>
    </w:pPr>
    <w:rPr>
      <w:rFonts w:ascii="Georgia" w:hAnsi="Georgia"/>
      <w:b w:val="0"/>
      <w:bCs/>
      <w:caps w:val="0"/>
      <w:color w:val="264A76"/>
      <w:kern w:val="32"/>
      <w:sz w:val="36"/>
      <w:szCs w:val="24"/>
      <w:lang w:eastAsia="en-US"/>
    </w:rPr>
  </w:style>
  <w:style w:type="paragraph" w:customStyle="1" w:styleId="PBOheading2">
    <w:name w:val="PBO heading 2"/>
    <w:basedOn w:val="Heading2"/>
    <w:next w:val="Normal"/>
    <w:uiPriority w:val="1"/>
    <w:qFormat/>
    <w:rsid w:val="00A55569"/>
    <w:pPr>
      <w:keepLines/>
      <w:spacing w:before="320" w:after="170" w:line="288" w:lineRule="auto"/>
    </w:pPr>
    <w:rPr>
      <w:rFonts w:asciiTheme="majorHAnsi" w:eastAsiaTheme="majorEastAsia" w:hAnsiTheme="majorHAnsi" w:cstheme="majorBidi"/>
      <w:b w:val="0"/>
      <w:bCs/>
      <w:color w:val="264A76"/>
      <w:sz w:val="30"/>
      <w:szCs w:val="26"/>
      <w:lang w:eastAsia="en-AU"/>
    </w:rPr>
  </w:style>
  <w:style w:type="paragraph" w:customStyle="1" w:styleId="PBOtext">
    <w:name w:val="PBO text"/>
    <w:basedOn w:val="Normal"/>
    <w:uiPriority w:val="99"/>
    <w:qFormat/>
    <w:rsid w:val="00A55569"/>
    <w:pPr>
      <w:spacing w:before="120" w:after="113"/>
    </w:pPr>
    <w:rPr>
      <w:rFonts w:eastAsia="Cambria"/>
      <w:szCs w:val="20"/>
      <w:lang w:eastAsia="en-AU"/>
    </w:rPr>
  </w:style>
  <w:style w:type="paragraph" w:customStyle="1" w:styleId="PBOfiguretableheading">
    <w:name w:val="PBO figure/table heading"/>
    <w:uiPriority w:val="2"/>
    <w:qFormat/>
    <w:rsid w:val="00A55569"/>
    <w:pPr>
      <w:spacing w:before="200" w:after="113" w:line="288" w:lineRule="auto"/>
    </w:pPr>
    <w:rPr>
      <w:rFonts w:ascii="Calibri" w:eastAsia="Cambria" w:hAnsi="Calibri" w:cs="Times New Roman"/>
      <w:b/>
      <w:i/>
      <w:color w:val="2B3B5F"/>
      <w:sz w:val="20"/>
      <w:szCs w:val="24"/>
    </w:rPr>
  </w:style>
  <w:style w:type="table" w:customStyle="1" w:styleId="PBOtable">
    <w:name w:val="PBO table"/>
    <w:basedOn w:val="TableNormal"/>
    <w:qFormat/>
    <w:rsid w:val="00543268"/>
    <w:pPr>
      <w:spacing w:after="0"/>
    </w:pPr>
    <w:rPr>
      <w:rFonts w:ascii="Calibri" w:eastAsia="Cambria" w:hAnsi="Calibri" w:cs="Times New Roman"/>
      <w:sz w:val="18"/>
      <w:szCs w:val="20"/>
      <w:lang w:eastAsia="en-AU"/>
    </w:rPr>
    <w:tblPr>
      <w:tblStyleRowBandSize w:val="1"/>
      <w:tblStyleColBandSize w:val="1"/>
    </w:tblPr>
    <w:tcPr>
      <w:shd w:val="clear" w:color="auto" w:fill="95A4C6"/>
      <w:vAlign w:val="center"/>
    </w:tcPr>
    <w:tblStylePr w:type="firstRow">
      <w:pPr>
        <w:jc w:val="center"/>
      </w:pPr>
      <w:rPr>
        <w:rFonts w:ascii="Calibri" w:hAnsi="Calibri"/>
        <w:b/>
        <w:color w:val="FFFFFF" w:themeColor="background1"/>
        <w:sz w:val="18"/>
      </w:rPr>
      <w:tblPr/>
      <w:tcPr>
        <w:shd w:val="clear" w:color="auto" w:fill="264A76"/>
      </w:tcPr>
    </w:tblStylePr>
    <w:tblStylePr w:type="firstCol">
      <w:pPr>
        <w:jc w:val="left"/>
      </w:pPr>
      <w:rPr>
        <w:rFonts w:ascii="Calibri" w:hAnsi="Calibri"/>
        <w:b/>
        <w:sz w:val="18"/>
      </w:rPr>
      <w:tblPr/>
      <w:tcPr>
        <w:vAlign w:val="center"/>
      </w:tcPr>
    </w:tblStylePr>
    <w:tblStylePr w:type="lastCol">
      <w:rPr>
        <w:rFonts w:ascii="Calibri" w:hAnsi="Calibri"/>
        <w:sz w:val="18"/>
      </w:rPr>
    </w:tblStylePr>
    <w:tblStylePr w:type="band1Horz">
      <w:pPr>
        <w:jc w:val="center"/>
      </w:pPr>
      <w:rPr>
        <w:color w:val="auto"/>
      </w:rPr>
      <w:tblPr/>
      <w:tcPr>
        <w:shd w:val="clear" w:color="auto" w:fill="D8DCE5"/>
      </w:tcPr>
    </w:tblStylePr>
    <w:tblStylePr w:type="band2Horz">
      <w:pPr>
        <w:jc w:val="center"/>
      </w:pPr>
      <w:rPr>
        <w:rFonts w:ascii="Calibri" w:hAnsi="Calibri"/>
        <w:sz w:val="18"/>
      </w:rPr>
      <w:tblPr/>
      <w:tcPr>
        <w:shd w:val="clear" w:color="auto" w:fill="FFFFFF" w:themeFill="background1"/>
      </w:tcPr>
    </w:tblStylePr>
  </w:style>
  <w:style w:type="paragraph" w:customStyle="1" w:styleId="TableHeading">
    <w:name w:val="Table Heading"/>
    <w:basedOn w:val="Normal"/>
    <w:qFormat/>
    <w:rsid w:val="00C71962"/>
    <w:pPr>
      <w:keepNext/>
      <w:keepLines/>
      <w:spacing w:before="70" w:after="70" w:line="260" w:lineRule="atLeast"/>
      <w:ind w:left="113" w:right="113"/>
    </w:pPr>
    <w:rPr>
      <w:rFonts w:asciiTheme="minorHAnsi" w:hAnsiTheme="minorHAnsi"/>
      <w:b/>
      <w:color w:val="FFFFFF"/>
      <w:sz w:val="20"/>
      <w:szCs w:val="20"/>
    </w:rPr>
  </w:style>
  <w:style w:type="paragraph" w:customStyle="1" w:styleId="TableHeadingCentred">
    <w:name w:val="Table Heading Centred"/>
    <w:basedOn w:val="TableHeading"/>
    <w:rsid w:val="00C71962"/>
    <w:pPr>
      <w:jc w:val="center"/>
    </w:pPr>
    <w:rPr>
      <w:color w:val="auto"/>
    </w:rPr>
  </w:style>
  <w:style w:type="paragraph" w:customStyle="1" w:styleId="TableText">
    <w:name w:val="Table Text"/>
    <w:basedOn w:val="Normal"/>
    <w:rsid w:val="00C71962"/>
    <w:pPr>
      <w:spacing w:before="70" w:after="70" w:line="260" w:lineRule="atLeast"/>
      <w:ind w:left="113" w:right="113"/>
    </w:pPr>
    <w:rPr>
      <w:rFonts w:asciiTheme="minorHAnsi" w:hAnsiTheme="minorHAnsi"/>
      <w:sz w:val="20"/>
      <w:szCs w:val="20"/>
    </w:rPr>
  </w:style>
  <w:style w:type="paragraph" w:customStyle="1" w:styleId="TableTextCentred">
    <w:name w:val="Table Text Centred"/>
    <w:basedOn w:val="TableText"/>
    <w:rsid w:val="00C71962"/>
    <w:pPr>
      <w:jc w:val="center"/>
    </w:pPr>
    <w:rPr>
      <w:rFonts w:eastAsia="Times New Roman"/>
      <w:lang w:eastAsia="en-AU"/>
    </w:rPr>
  </w:style>
  <w:style w:type="table" w:customStyle="1" w:styleId="TableGrid1">
    <w:name w:val="Table Grid1"/>
    <w:basedOn w:val="TableNormal"/>
    <w:next w:val="TableGrid"/>
    <w:rsid w:val="00C71962"/>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
    <w:name w:val="Table Grid2"/>
    <w:basedOn w:val="TableNormal"/>
    <w:next w:val="TableGrid"/>
    <w:rsid w:val="00E76371"/>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customStyle="1" w:styleId="Default">
    <w:name w:val="Default"/>
    <w:rsid w:val="004F1A32"/>
    <w:pPr>
      <w:autoSpaceDE w:val="0"/>
      <w:autoSpaceDN w:val="0"/>
      <w:adjustRightInd w:val="0"/>
      <w:spacing w:after="0"/>
    </w:pPr>
    <w:rPr>
      <w:rFonts w:ascii="Georgia" w:hAnsi="Georgia" w:cs="Georgia"/>
      <w:color w:val="000000"/>
      <w:sz w:val="24"/>
      <w:szCs w:val="24"/>
    </w:rPr>
  </w:style>
  <w:style w:type="paragraph" w:styleId="PlainText">
    <w:name w:val="Plain Text"/>
    <w:basedOn w:val="Normal"/>
    <w:link w:val="PlainTextChar"/>
    <w:uiPriority w:val="99"/>
    <w:unhideWhenUsed/>
    <w:rsid w:val="00873004"/>
    <w:pPr>
      <w:spacing w:after="0"/>
    </w:pPr>
    <w:rPr>
      <w:rFonts w:cstheme="minorBidi"/>
      <w:szCs w:val="21"/>
    </w:rPr>
  </w:style>
  <w:style w:type="character" w:customStyle="1" w:styleId="PlainTextChar">
    <w:name w:val="Plain Text Char"/>
    <w:basedOn w:val="DefaultParagraphFont"/>
    <w:link w:val="PlainText"/>
    <w:uiPriority w:val="99"/>
    <w:rsid w:val="00873004"/>
    <w:rPr>
      <w:rFonts w:ascii="Calibri" w:hAnsi="Calibri"/>
      <w:szCs w:val="21"/>
    </w:rPr>
  </w:style>
  <w:style w:type="table" w:customStyle="1" w:styleId="TableGrid11">
    <w:name w:val="Table Grid11"/>
    <w:basedOn w:val="TableNormal"/>
    <w:next w:val="TableGrid"/>
    <w:rsid w:val="00764FC5"/>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1">
    <w:name w:val="Table Grid21"/>
    <w:basedOn w:val="TableNormal"/>
    <w:next w:val="TableGrid"/>
    <w:rsid w:val="006F4E2B"/>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styleId="EndnoteText">
    <w:name w:val="endnote text"/>
    <w:basedOn w:val="Normal"/>
    <w:link w:val="EndnoteTextChar"/>
    <w:uiPriority w:val="99"/>
    <w:semiHidden/>
    <w:unhideWhenUsed/>
    <w:rsid w:val="003B1CA0"/>
    <w:pPr>
      <w:spacing w:after="0"/>
    </w:pPr>
    <w:rPr>
      <w:sz w:val="20"/>
      <w:szCs w:val="20"/>
    </w:rPr>
  </w:style>
  <w:style w:type="character" w:customStyle="1" w:styleId="EndnoteTextChar">
    <w:name w:val="Endnote Text Char"/>
    <w:basedOn w:val="DefaultParagraphFont"/>
    <w:link w:val="EndnoteText"/>
    <w:uiPriority w:val="99"/>
    <w:semiHidden/>
    <w:rsid w:val="003B1CA0"/>
    <w:rPr>
      <w:rFonts w:ascii="Calibri" w:hAnsi="Calibri" w:cs="Times New Roman"/>
      <w:sz w:val="20"/>
      <w:szCs w:val="20"/>
    </w:rPr>
  </w:style>
  <w:style w:type="character" w:styleId="EndnoteReference">
    <w:name w:val="endnote reference"/>
    <w:basedOn w:val="DefaultParagraphFont"/>
    <w:uiPriority w:val="99"/>
    <w:semiHidden/>
    <w:unhideWhenUsed/>
    <w:rsid w:val="003B1CA0"/>
    <w:rPr>
      <w:vertAlign w:val="superscript"/>
    </w:rPr>
  </w:style>
  <w:style w:type="table" w:customStyle="1" w:styleId="TableGrid3">
    <w:name w:val="Table Grid3"/>
    <w:basedOn w:val="TableNormal"/>
    <w:next w:val="TableGrid"/>
    <w:rsid w:val="002852A0"/>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customStyle="1" w:styleId="TableTextNumber">
    <w:name w:val="Table Text Number"/>
    <w:basedOn w:val="TableText"/>
    <w:qFormat/>
    <w:rsid w:val="002852A0"/>
    <w:pPr>
      <w:ind w:left="0"/>
    </w:pPr>
  </w:style>
  <w:style w:type="paragraph" w:customStyle="1" w:styleId="TableTextNumber2">
    <w:name w:val="Table Text Number 2"/>
    <w:basedOn w:val="TableTextNumber"/>
    <w:qFormat/>
    <w:rsid w:val="002852A0"/>
    <w:rPr>
      <w:rFonts w:eastAsia="Times New Roman"/>
      <w:sz w:val="16"/>
      <w:szCs w:val="16"/>
      <w:lang w:eastAsia="en-AU"/>
    </w:rPr>
  </w:style>
  <w:style w:type="paragraph" w:customStyle="1" w:styleId="TableTextNumber3">
    <w:name w:val="Table Text Number 3"/>
    <w:basedOn w:val="TableTextNumber2"/>
    <w:rsid w:val="002852A0"/>
  </w:style>
  <w:style w:type="paragraph" w:customStyle="1" w:styleId="OverviewBodyText">
    <w:name w:val="Overview Body Text"/>
    <w:basedOn w:val="Normal"/>
    <w:rsid w:val="00432353"/>
    <w:pPr>
      <w:spacing w:after="113" w:line="300" w:lineRule="atLeast"/>
    </w:pPr>
    <w:rPr>
      <w:rFonts w:asciiTheme="minorHAnsi" w:hAnsiTheme="minorHAnsi" w:cstheme="minorBidi"/>
      <w:szCs w:val="22"/>
    </w:rPr>
  </w:style>
  <w:style w:type="paragraph" w:styleId="ListBullet">
    <w:name w:val="List Bullet"/>
    <w:basedOn w:val="Normal"/>
    <w:uiPriority w:val="99"/>
    <w:unhideWhenUsed/>
    <w:rsid w:val="007737A9"/>
    <w:pPr>
      <w:numPr>
        <w:numId w:val="36"/>
      </w:numPr>
      <w:spacing w:after="113" w:line="300" w:lineRule="atLeast"/>
    </w:pPr>
    <w:rPr>
      <w:spacing w:val="-1"/>
      <w:sz w:val="28"/>
      <w:szCs w:val="28"/>
    </w:rPr>
  </w:style>
  <w:style w:type="paragraph" w:styleId="ListBullet2">
    <w:name w:val="List Bullet 2"/>
    <w:basedOn w:val="Normal"/>
    <w:uiPriority w:val="99"/>
    <w:semiHidden/>
    <w:unhideWhenUsed/>
    <w:rsid w:val="007737A9"/>
    <w:pPr>
      <w:numPr>
        <w:ilvl w:val="1"/>
        <w:numId w:val="36"/>
      </w:numPr>
      <w:spacing w:after="113" w:line="300" w:lineRule="atLeast"/>
    </w:pPr>
    <w:rPr>
      <w:spacing w:val="-1"/>
      <w:sz w:val="28"/>
      <w:szCs w:val="28"/>
    </w:rPr>
  </w:style>
  <w:style w:type="paragraph" w:styleId="ListBullet3">
    <w:name w:val="List Bullet 3"/>
    <w:basedOn w:val="Normal"/>
    <w:uiPriority w:val="99"/>
    <w:semiHidden/>
    <w:unhideWhenUsed/>
    <w:rsid w:val="007737A9"/>
    <w:pPr>
      <w:numPr>
        <w:ilvl w:val="2"/>
        <w:numId w:val="36"/>
      </w:numPr>
      <w:spacing w:after="113" w:line="300" w:lineRule="atLeast"/>
    </w:pPr>
    <w:rPr>
      <w:spacing w:val="-1"/>
      <w:sz w:val="28"/>
      <w:szCs w:val="28"/>
    </w:rPr>
  </w:style>
  <w:style w:type="character" w:styleId="Hyperlink">
    <w:name w:val="Hyperlink"/>
    <w:basedOn w:val="DefaultParagraphFont"/>
    <w:uiPriority w:val="99"/>
    <w:semiHidden/>
    <w:unhideWhenUsed/>
    <w:rsid w:val="000652EF"/>
    <w:rPr>
      <w:color w:val="0000FF"/>
      <w:u w:val="single"/>
    </w:rPr>
  </w:style>
  <w:style w:type="character" w:styleId="FollowedHyperlink">
    <w:name w:val="FollowedHyperlink"/>
    <w:basedOn w:val="DefaultParagraphFont"/>
    <w:uiPriority w:val="99"/>
    <w:semiHidden/>
    <w:unhideWhenUsed/>
    <w:rsid w:val="000652EF"/>
    <w:rPr>
      <w:color w:val="800080" w:themeColor="followedHyperlink"/>
      <w:u w:val="single"/>
    </w:rPr>
  </w:style>
  <w:style w:type="paragraph" w:customStyle="1" w:styleId="AppendixTitle1">
    <w:name w:val="Appendix Title1"/>
    <w:basedOn w:val="Normal"/>
    <w:next w:val="BodyText"/>
    <w:rsid w:val="00C30B07"/>
    <w:pPr>
      <w:keepNext/>
      <w:keepLines/>
      <w:numPr>
        <w:numId w:val="42"/>
      </w:numPr>
      <w:tabs>
        <w:tab w:val="num" w:pos="284"/>
        <w:tab w:val="left" w:pos="4536"/>
      </w:tabs>
      <w:spacing w:before="480" w:after="340" w:line="300" w:lineRule="atLeast"/>
      <w:ind w:left="284" w:hanging="284"/>
      <w:outlineLvl w:val="7"/>
    </w:pPr>
    <w:rPr>
      <w:rFonts w:ascii="Georgia" w:eastAsia="Times New Roman" w:hAnsi="Georgia"/>
      <w:color w:val="2B3B5F"/>
      <w:sz w:val="40"/>
      <w:szCs w:val="22"/>
    </w:rPr>
  </w:style>
  <w:style w:type="paragraph" w:customStyle="1" w:styleId="AppendixHeading11">
    <w:name w:val="Appendix Heading 11"/>
    <w:basedOn w:val="Normal"/>
    <w:next w:val="BodyText"/>
    <w:rsid w:val="00C30B07"/>
    <w:pPr>
      <w:keepNext/>
      <w:keepLines/>
      <w:numPr>
        <w:ilvl w:val="1"/>
        <w:numId w:val="42"/>
      </w:numPr>
      <w:tabs>
        <w:tab w:val="clear" w:pos="0"/>
        <w:tab w:val="num" w:pos="284"/>
        <w:tab w:val="left" w:pos="1559"/>
        <w:tab w:val="left" w:pos="1843"/>
        <w:tab w:val="left" w:pos="2126"/>
        <w:tab w:val="left" w:pos="2410"/>
      </w:tabs>
      <w:spacing w:before="470" w:after="227" w:line="300" w:lineRule="atLeast"/>
      <w:ind w:left="284" w:hanging="284"/>
      <w:outlineLvl w:val="8"/>
    </w:pPr>
    <w:rPr>
      <w:rFonts w:ascii="Georgia" w:hAnsi="Georgia"/>
      <w:color w:val="2B3B5F"/>
      <w:sz w:val="32"/>
      <w:szCs w:val="22"/>
    </w:rPr>
  </w:style>
  <w:style w:type="paragraph" w:customStyle="1" w:styleId="AppendixHeading2">
    <w:name w:val="Appendix Heading 2"/>
    <w:basedOn w:val="Normal"/>
    <w:next w:val="BodyText"/>
    <w:rsid w:val="00C30B07"/>
    <w:pPr>
      <w:keepNext/>
      <w:keepLines/>
      <w:numPr>
        <w:ilvl w:val="2"/>
        <w:numId w:val="42"/>
      </w:numPr>
      <w:tabs>
        <w:tab w:val="clear" w:pos="0"/>
        <w:tab w:val="num" w:pos="284"/>
        <w:tab w:val="left" w:pos="1559"/>
        <w:tab w:val="left" w:pos="1843"/>
        <w:tab w:val="left" w:pos="2126"/>
        <w:tab w:val="left" w:pos="2410"/>
      </w:tabs>
      <w:spacing w:before="470" w:after="227" w:line="300" w:lineRule="atLeast"/>
      <w:ind w:left="284" w:hanging="284"/>
    </w:pPr>
    <w:rPr>
      <w:rFonts w:ascii="Georgia" w:hAnsi="Georgia"/>
      <w:color w:val="2B3B5F"/>
      <w:sz w:val="28"/>
      <w:szCs w:val="22"/>
    </w:rPr>
  </w:style>
  <w:style w:type="paragraph" w:customStyle="1" w:styleId="AppendixHeading3">
    <w:name w:val="Appendix Heading 3"/>
    <w:basedOn w:val="Normal"/>
    <w:next w:val="BodyText"/>
    <w:rsid w:val="00C30B07"/>
    <w:pPr>
      <w:keepNext/>
      <w:keepLines/>
      <w:numPr>
        <w:ilvl w:val="3"/>
        <w:numId w:val="42"/>
      </w:numPr>
      <w:tabs>
        <w:tab w:val="clear" w:pos="0"/>
        <w:tab w:val="num" w:pos="284"/>
        <w:tab w:val="left" w:pos="1559"/>
        <w:tab w:val="left" w:pos="1843"/>
        <w:tab w:val="left" w:pos="2126"/>
        <w:tab w:val="left" w:pos="2410"/>
        <w:tab w:val="left" w:pos="6804"/>
      </w:tabs>
      <w:spacing w:before="227" w:after="113" w:line="300" w:lineRule="atLeast"/>
      <w:ind w:left="284" w:hanging="284"/>
    </w:pPr>
    <w:rPr>
      <w:b/>
      <w:color w:val="2B3B5F"/>
      <w:szCs w:val="22"/>
    </w:rPr>
  </w:style>
  <w:style w:type="paragraph" w:customStyle="1" w:styleId="FooterRight">
    <w:name w:val="Footer Right"/>
    <w:basedOn w:val="Normal"/>
    <w:next w:val="Footer"/>
    <w:rsid w:val="00C30B07"/>
    <w:pPr>
      <w:framePr w:wrap="around" w:vAnchor="page" w:hAnchor="margin" w:xAlign="right" w:yAlign="bottom"/>
      <w:spacing w:before="180" w:after="120"/>
      <w:ind w:left="397" w:right="397"/>
      <w:jc w:val="right"/>
    </w:pPr>
    <w:rPr>
      <w:b/>
      <w:spacing w:val="-2"/>
      <w:sz w:val="18"/>
      <w:szCs w:val="22"/>
    </w:rPr>
  </w:style>
  <w:style w:type="table" w:customStyle="1" w:styleId="PullOutBoxTable">
    <w:name w:val="Pull Out Box Table"/>
    <w:basedOn w:val="TableNormal"/>
    <w:uiPriority w:val="99"/>
    <w:rsid w:val="00C30B07"/>
    <w:pPr>
      <w:spacing w:after="0"/>
    </w:pPr>
    <w:rPr>
      <w:rFonts w:eastAsia="Times New Roman" w:cs="Arial"/>
      <w:lang w:eastAsia="en-AU"/>
    </w:rPr>
    <w:tblPr>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CellMar>
        <w:top w:w="28" w:type="dxa"/>
        <w:left w:w="0" w:type="dxa"/>
        <w:bottom w:w="28" w:type="dxa"/>
        <w:right w:w="0" w:type="dxa"/>
      </w:tblCellMar>
    </w:tblPr>
    <w:tcPr>
      <w:shd w:val="clear" w:color="auto" w:fill="D7DDE9"/>
    </w:tcPr>
  </w:style>
  <w:style w:type="paragraph" w:styleId="BodyText">
    <w:name w:val="Body Text"/>
    <w:basedOn w:val="Normal"/>
    <w:link w:val="BodyTextChar"/>
    <w:uiPriority w:val="99"/>
    <w:semiHidden/>
    <w:unhideWhenUsed/>
    <w:rsid w:val="00C30B07"/>
    <w:pPr>
      <w:spacing w:after="120"/>
    </w:pPr>
  </w:style>
  <w:style w:type="character" w:customStyle="1" w:styleId="BodyTextChar">
    <w:name w:val="Body Text Char"/>
    <w:basedOn w:val="DefaultParagraphFont"/>
    <w:link w:val="BodyText"/>
    <w:uiPriority w:val="99"/>
    <w:semiHidden/>
    <w:rsid w:val="00C30B07"/>
    <w:rPr>
      <w:rFonts w:ascii="Calibri"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lsdException w:name="Title" w:semiHidden="0" w:uiPriority="0" w:unhideWhenUsed="0" w:qFormat="1"/>
    <w:lsdException w:name="Default Paragraph Font" w:uiPriority="1"/>
    <w:lsdException w:name="Subtitle" w:semiHidden="0" w:uiPriority="2" w:unhideWhenUsed="0"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34A7"/>
    <w:rPr>
      <w:rFonts w:ascii="Calibri" w:hAnsi="Calibri" w:cs="Times New Roman"/>
      <w:szCs w:val="24"/>
    </w:rPr>
  </w:style>
  <w:style w:type="paragraph" w:styleId="Heading1">
    <w:name w:val="heading 1"/>
    <w:basedOn w:val="Normal"/>
    <w:next w:val="Normal"/>
    <w:link w:val="Heading1Char"/>
    <w:uiPriority w:val="9"/>
    <w:qFormat/>
    <w:rsid w:val="00B2715B"/>
    <w:pPr>
      <w:keepNext/>
      <w:spacing w:after="240"/>
      <w:outlineLvl w:val="0"/>
    </w:pPr>
    <w:rPr>
      <w:rFonts w:eastAsia="Times New Roman"/>
      <w:b/>
      <w:caps/>
      <w:sz w:val="32"/>
      <w:szCs w:val="20"/>
      <w:lang w:eastAsia="en-AU"/>
    </w:rPr>
  </w:style>
  <w:style w:type="paragraph" w:styleId="Heading2">
    <w:name w:val="heading 2"/>
    <w:basedOn w:val="Normal"/>
    <w:next w:val="Normal"/>
    <w:link w:val="Heading2Char"/>
    <w:uiPriority w:val="9"/>
    <w:unhideWhenUsed/>
    <w:qFormat/>
    <w:rsid w:val="00B2715B"/>
    <w:pPr>
      <w:keepNext/>
      <w:spacing w:before="120" w:after="240"/>
      <w:outlineLvl w:val="1"/>
    </w:pPr>
    <w:rPr>
      <w:b/>
      <w:sz w:val="32"/>
    </w:rPr>
  </w:style>
  <w:style w:type="paragraph" w:styleId="Heading3">
    <w:name w:val="heading 3"/>
    <w:basedOn w:val="Normal"/>
    <w:next w:val="Normal"/>
    <w:link w:val="Heading3Char"/>
    <w:uiPriority w:val="9"/>
    <w:unhideWhenUsed/>
    <w:qFormat/>
    <w:rsid w:val="008461CD"/>
    <w:pPr>
      <w:keepNext/>
      <w:keepLines/>
      <w:spacing w:before="200" w:after="0"/>
      <w:outlineLvl w:val="2"/>
    </w:pPr>
    <w:rPr>
      <w:rFonts w:eastAsiaTheme="majorEastAsia" w:cstheme="majorBidi"/>
      <w:b/>
      <w:bCs/>
      <w:i/>
    </w:rPr>
  </w:style>
  <w:style w:type="paragraph" w:styleId="Heading4">
    <w:name w:val="heading 4"/>
    <w:basedOn w:val="Heading3"/>
    <w:next w:val="Normal"/>
    <w:link w:val="Heading4Char"/>
    <w:uiPriority w:val="9"/>
    <w:unhideWhenUsed/>
    <w:rsid w:val="008461CD"/>
    <w:pPr>
      <w:spacing w:after="120"/>
      <w:outlineLvl w:val="3"/>
    </w:pPr>
    <w:rPr>
      <w:b w:val="0"/>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715B"/>
    <w:rPr>
      <w:rFonts w:ascii="Times New Roman" w:hAnsi="Times New Roman" w:cs="Times New Roman"/>
      <w:b/>
      <w:sz w:val="32"/>
      <w:szCs w:val="24"/>
    </w:rPr>
  </w:style>
  <w:style w:type="paragraph" w:customStyle="1" w:styleId="ChartandTableFootnoteAlpha">
    <w:name w:val="Chart and Table Footnote Alpha"/>
    <w:basedOn w:val="Normal"/>
    <w:next w:val="Normal"/>
    <w:rsid w:val="00891FC4"/>
    <w:pPr>
      <w:keepLines/>
      <w:numPr>
        <w:numId w:val="2"/>
      </w:numPr>
      <w:spacing w:after="0"/>
      <w:jc w:val="both"/>
    </w:pPr>
    <w:rPr>
      <w:rFonts w:ascii="Arial" w:eastAsia="Times New Roman" w:hAnsi="Arial"/>
      <w:sz w:val="16"/>
      <w:szCs w:val="20"/>
      <w:lang w:eastAsia="en-AU"/>
    </w:rPr>
  </w:style>
  <w:style w:type="paragraph" w:styleId="Caption">
    <w:name w:val="caption"/>
    <w:basedOn w:val="Normal"/>
    <w:next w:val="Normal"/>
    <w:link w:val="CaptionChar"/>
    <w:rsid w:val="00891FC4"/>
    <w:pPr>
      <w:keepNext/>
      <w:keepLines/>
      <w:spacing w:line="260" w:lineRule="exact"/>
      <w:jc w:val="both"/>
    </w:pPr>
    <w:rPr>
      <w:rFonts w:eastAsia="Times New Roman"/>
      <w:b/>
      <w:bCs/>
      <w:szCs w:val="20"/>
      <w:lang w:eastAsia="en-AU"/>
    </w:rPr>
  </w:style>
  <w:style w:type="character" w:customStyle="1" w:styleId="CaptionChar">
    <w:name w:val="Caption Char"/>
    <w:basedOn w:val="DefaultParagraphFont"/>
    <w:link w:val="Caption"/>
    <w:locked/>
    <w:rsid w:val="00891FC4"/>
    <w:rPr>
      <w:rFonts w:ascii="Times New Roman" w:eastAsia="Times New Roman" w:hAnsi="Times New Roman" w:cs="Times New Roman"/>
      <w:b/>
      <w:bCs/>
      <w:sz w:val="24"/>
      <w:szCs w:val="20"/>
      <w:lang w:eastAsia="en-AU"/>
    </w:rPr>
  </w:style>
  <w:style w:type="character" w:customStyle="1" w:styleId="Heading1Char">
    <w:name w:val="Heading 1 Char"/>
    <w:basedOn w:val="DefaultParagraphFont"/>
    <w:link w:val="Heading1"/>
    <w:uiPriority w:val="9"/>
    <w:rsid w:val="00B2715B"/>
    <w:rPr>
      <w:rFonts w:ascii="Times New Roman" w:eastAsia="Times New Roman" w:hAnsi="Times New Roman" w:cs="Times New Roman"/>
      <w:b/>
      <w:caps/>
      <w:sz w:val="32"/>
      <w:szCs w:val="20"/>
      <w:lang w:eastAsia="en-AU"/>
    </w:rPr>
  </w:style>
  <w:style w:type="character" w:customStyle="1" w:styleId="Heading4Char">
    <w:name w:val="Heading 4 Char"/>
    <w:basedOn w:val="DefaultParagraphFont"/>
    <w:link w:val="Heading4"/>
    <w:uiPriority w:val="9"/>
    <w:rsid w:val="008461CD"/>
    <w:rPr>
      <w:rFonts w:ascii="Times New Roman" w:eastAsiaTheme="majorEastAsia" w:hAnsi="Times New Roman" w:cstheme="majorBidi"/>
      <w:i/>
      <w:iCs/>
      <w:sz w:val="24"/>
      <w:szCs w:val="24"/>
    </w:rPr>
  </w:style>
  <w:style w:type="character" w:customStyle="1" w:styleId="Heading3Char">
    <w:name w:val="Heading 3 Char"/>
    <w:basedOn w:val="DefaultParagraphFont"/>
    <w:link w:val="Heading3"/>
    <w:uiPriority w:val="9"/>
    <w:rsid w:val="008461CD"/>
    <w:rPr>
      <w:rFonts w:ascii="Times New Roman" w:eastAsiaTheme="majorEastAsia" w:hAnsi="Times New Roman" w:cstheme="majorBidi"/>
      <w:b/>
      <w:bCs/>
      <w:i/>
      <w:sz w:val="24"/>
      <w:szCs w:val="24"/>
    </w:rPr>
  </w:style>
  <w:style w:type="table" w:styleId="TableGrid">
    <w:name w:val="Table Grid"/>
    <w:basedOn w:val="TableNormal"/>
    <w:rsid w:val="00891FC4"/>
    <w:pPr>
      <w:keepNext/>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ormabullet">
    <w:name w:val="Pro forma bullet"/>
    <w:basedOn w:val="Normal"/>
    <w:qFormat/>
    <w:rsid w:val="00891FC4"/>
    <w:pPr>
      <w:spacing w:before="80" w:after="80" w:line="260" w:lineRule="exact"/>
    </w:pPr>
    <w:rPr>
      <w:rFonts w:eastAsia="Times New Roman"/>
      <w:szCs w:val="20"/>
      <w:lang w:eastAsia="en-AU"/>
    </w:rPr>
  </w:style>
  <w:style w:type="paragraph" w:styleId="Header">
    <w:name w:val="header"/>
    <w:basedOn w:val="Normal"/>
    <w:link w:val="HeaderChar"/>
    <w:uiPriority w:val="99"/>
    <w:unhideWhenUsed/>
    <w:rsid w:val="00770BB2"/>
    <w:pPr>
      <w:tabs>
        <w:tab w:val="center" w:pos="4513"/>
        <w:tab w:val="right" w:pos="9026"/>
      </w:tabs>
      <w:spacing w:after="0"/>
    </w:pPr>
  </w:style>
  <w:style w:type="character" w:customStyle="1" w:styleId="HeaderChar">
    <w:name w:val="Header Char"/>
    <w:basedOn w:val="DefaultParagraphFont"/>
    <w:link w:val="Header"/>
    <w:uiPriority w:val="99"/>
    <w:rsid w:val="00770BB2"/>
    <w:rPr>
      <w:rFonts w:ascii="Times New Roman" w:hAnsi="Times New Roman" w:cs="Times New Roman"/>
      <w:sz w:val="24"/>
      <w:szCs w:val="24"/>
    </w:rPr>
  </w:style>
  <w:style w:type="paragraph" w:styleId="Footer">
    <w:name w:val="footer"/>
    <w:aliases w:val="PBO HeaderFooter"/>
    <w:basedOn w:val="Normal"/>
    <w:link w:val="FooterChar"/>
    <w:uiPriority w:val="99"/>
    <w:unhideWhenUsed/>
    <w:qFormat/>
    <w:rsid w:val="00770BB2"/>
    <w:pPr>
      <w:tabs>
        <w:tab w:val="center" w:pos="4513"/>
        <w:tab w:val="right" w:pos="9026"/>
      </w:tabs>
      <w:spacing w:after="0"/>
    </w:pPr>
  </w:style>
  <w:style w:type="character" w:customStyle="1" w:styleId="FooterChar">
    <w:name w:val="Footer Char"/>
    <w:aliases w:val="PBO HeaderFooter Char"/>
    <w:basedOn w:val="DefaultParagraphFont"/>
    <w:link w:val="Footer"/>
    <w:uiPriority w:val="99"/>
    <w:rsid w:val="00770BB2"/>
    <w:rPr>
      <w:rFonts w:ascii="Times New Roman" w:hAnsi="Times New Roman" w:cs="Times New Roman"/>
      <w:sz w:val="24"/>
      <w:szCs w:val="24"/>
    </w:rPr>
  </w:style>
  <w:style w:type="character" w:styleId="IntenseReference">
    <w:name w:val="Intense Reference"/>
    <w:aliases w:val="DLM style"/>
    <w:basedOn w:val="DefaultParagraphFont"/>
    <w:uiPriority w:val="32"/>
    <w:qFormat/>
    <w:rsid w:val="00770BB2"/>
    <w:rPr>
      <w:rFonts w:ascii="Arial" w:hAnsi="Arial"/>
      <w:b/>
      <w:bCs/>
      <w:caps w:val="0"/>
      <w:smallCaps w:val="0"/>
      <w:color w:val="FF0000"/>
      <w:spacing w:val="5"/>
      <w:sz w:val="28"/>
      <w:u w:val="single"/>
    </w:rPr>
  </w:style>
  <w:style w:type="character" w:styleId="SubtleReference">
    <w:name w:val="Subtle Reference"/>
    <w:basedOn w:val="DefaultParagraphFont"/>
    <w:uiPriority w:val="31"/>
    <w:rsid w:val="00770BB2"/>
    <w:rPr>
      <w:smallCaps/>
      <w:color w:val="C0504D" w:themeColor="accent2"/>
      <w:u w:val="single"/>
    </w:rPr>
  </w:style>
  <w:style w:type="paragraph" w:styleId="BalloonText">
    <w:name w:val="Balloon Text"/>
    <w:basedOn w:val="Normal"/>
    <w:link w:val="BalloonTextChar"/>
    <w:uiPriority w:val="99"/>
    <w:semiHidden/>
    <w:unhideWhenUsed/>
    <w:rsid w:val="009B08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812"/>
    <w:rPr>
      <w:rFonts w:ascii="Tahoma" w:hAnsi="Tahoma" w:cs="Tahoma"/>
      <w:sz w:val="16"/>
      <w:szCs w:val="16"/>
    </w:rPr>
  </w:style>
  <w:style w:type="paragraph" w:styleId="Subtitle">
    <w:name w:val="Subtitle"/>
    <w:aliases w:val="PBO Subtitle"/>
    <w:basedOn w:val="Normal"/>
    <w:next w:val="Normal"/>
    <w:link w:val="SubtitleChar"/>
    <w:uiPriority w:val="2"/>
    <w:qFormat/>
    <w:rsid w:val="00A734A7"/>
    <w:pPr>
      <w:keepNext/>
      <w:keepLines/>
      <w:spacing w:before="480" w:after="0"/>
    </w:pPr>
    <w:rPr>
      <w:rFonts w:ascii="Georgia" w:eastAsiaTheme="majorEastAsia" w:hAnsi="Georgia" w:cstheme="majorBidi"/>
      <w:bCs/>
      <w:color w:val="264A76"/>
      <w:sz w:val="32"/>
      <w:szCs w:val="32"/>
      <w:lang w:eastAsia="en-AU"/>
    </w:rPr>
  </w:style>
  <w:style w:type="character" w:customStyle="1" w:styleId="SubtitleChar">
    <w:name w:val="Subtitle Char"/>
    <w:aliases w:val="PBO Subtitle Char"/>
    <w:basedOn w:val="DefaultParagraphFont"/>
    <w:link w:val="Subtitle"/>
    <w:uiPriority w:val="2"/>
    <w:rsid w:val="00A734A7"/>
    <w:rPr>
      <w:rFonts w:ascii="Georgia" w:eastAsiaTheme="majorEastAsia" w:hAnsi="Georgia" w:cstheme="majorBidi"/>
      <w:bCs/>
      <w:color w:val="264A76"/>
      <w:sz w:val="32"/>
      <w:szCs w:val="32"/>
      <w:lang w:eastAsia="en-AU"/>
    </w:rPr>
  </w:style>
  <w:style w:type="paragraph" w:styleId="ListParagraph">
    <w:name w:val="List Paragraph"/>
    <w:basedOn w:val="Normal"/>
    <w:link w:val="ListParagraphChar"/>
    <w:uiPriority w:val="34"/>
    <w:qFormat/>
    <w:rsid w:val="009B6788"/>
    <w:pPr>
      <w:ind w:left="720"/>
      <w:contextualSpacing/>
    </w:pPr>
  </w:style>
  <w:style w:type="character" w:styleId="SubtleEmphasis">
    <w:name w:val="Subtle Emphasis"/>
    <w:aliases w:val="Bullet level 1"/>
    <w:uiPriority w:val="19"/>
    <w:rsid w:val="00492FE0"/>
    <w:rPr>
      <w:lang w:eastAsia="en-AU"/>
    </w:rPr>
  </w:style>
  <w:style w:type="paragraph" w:customStyle="1" w:styleId="Bullet1">
    <w:name w:val="Bullet 1"/>
    <w:basedOn w:val="Normal"/>
    <w:link w:val="Bullet1Char"/>
    <w:qFormat/>
    <w:rsid w:val="002565D1"/>
    <w:pPr>
      <w:numPr>
        <w:numId w:val="3"/>
      </w:numPr>
    </w:pPr>
  </w:style>
  <w:style w:type="paragraph" w:customStyle="1" w:styleId="Bullet2">
    <w:name w:val="Bullet 2"/>
    <w:basedOn w:val="NormalWeb"/>
    <w:link w:val="Bullet2Char"/>
    <w:uiPriority w:val="99"/>
    <w:qFormat/>
    <w:rsid w:val="002565D1"/>
    <w:pPr>
      <w:numPr>
        <w:ilvl w:val="1"/>
        <w:numId w:val="3"/>
      </w:numPr>
      <w:ind w:left="568" w:hanging="284"/>
    </w:pPr>
    <w:rPr>
      <w:lang w:eastAsia="en-AU"/>
    </w:rPr>
  </w:style>
  <w:style w:type="character" w:customStyle="1" w:styleId="ListParagraphChar">
    <w:name w:val="List Paragraph Char"/>
    <w:basedOn w:val="DefaultParagraphFont"/>
    <w:link w:val="ListParagraph"/>
    <w:uiPriority w:val="34"/>
    <w:rsid w:val="002565D1"/>
    <w:rPr>
      <w:rFonts w:ascii="Times New Roman" w:hAnsi="Times New Roman" w:cs="Times New Roman"/>
      <w:sz w:val="24"/>
      <w:szCs w:val="24"/>
    </w:rPr>
  </w:style>
  <w:style w:type="character" w:customStyle="1" w:styleId="Bullet1Char">
    <w:name w:val="Bullet 1 Char"/>
    <w:basedOn w:val="ListParagraphChar"/>
    <w:link w:val="Bullet1"/>
    <w:rsid w:val="00BF3D64"/>
    <w:rPr>
      <w:rFonts w:ascii="Calibri" w:hAnsi="Calibri" w:cs="Times New Roman"/>
      <w:sz w:val="24"/>
      <w:szCs w:val="24"/>
    </w:rPr>
  </w:style>
  <w:style w:type="paragraph" w:customStyle="1" w:styleId="Bullet3">
    <w:name w:val="Bullet 3"/>
    <w:basedOn w:val="NormalWeb"/>
    <w:link w:val="Bullet3Char"/>
    <w:uiPriority w:val="99"/>
    <w:qFormat/>
    <w:rsid w:val="002565D1"/>
    <w:pPr>
      <w:numPr>
        <w:ilvl w:val="2"/>
        <w:numId w:val="3"/>
      </w:numPr>
      <w:ind w:left="851" w:hanging="284"/>
    </w:pPr>
    <w:rPr>
      <w:lang w:eastAsia="en-AU"/>
    </w:rPr>
  </w:style>
  <w:style w:type="character" w:customStyle="1" w:styleId="Bullet2Char">
    <w:name w:val="Bullet 2 Char"/>
    <w:basedOn w:val="ListParagraphChar"/>
    <w:link w:val="Bullet2"/>
    <w:rsid w:val="00BF3D64"/>
    <w:rPr>
      <w:rFonts w:ascii="Times New Roman" w:hAnsi="Times New Roman" w:cs="Times New Roman"/>
      <w:sz w:val="24"/>
      <w:szCs w:val="24"/>
      <w:lang w:eastAsia="en-AU"/>
    </w:rPr>
  </w:style>
  <w:style w:type="paragraph" w:customStyle="1" w:styleId="Bullet4">
    <w:name w:val="Bullet 4"/>
    <w:basedOn w:val="ListParagraph"/>
    <w:next w:val="Normal"/>
    <w:link w:val="Bullet4Char"/>
    <w:uiPriority w:val="99"/>
    <w:qFormat/>
    <w:rsid w:val="002565D1"/>
    <w:pPr>
      <w:numPr>
        <w:ilvl w:val="3"/>
        <w:numId w:val="3"/>
      </w:numPr>
      <w:ind w:left="1135" w:hanging="284"/>
    </w:pPr>
    <w:rPr>
      <w:lang w:eastAsia="en-AU"/>
    </w:rPr>
  </w:style>
  <w:style w:type="character" w:customStyle="1" w:styleId="Bullet3Char">
    <w:name w:val="Bullet 3 Char"/>
    <w:basedOn w:val="ListParagraphChar"/>
    <w:link w:val="Bullet3"/>
    <w:rsid w:val="00BF3D64"/>
    <w:rPr>
      <w:rFonts w:ascii="Times New Roman" w:hAnsi="Times New Roman" w:cs="Times New Roman"/>
      <w:sz w:val="24"/>
      <w:szCs w:val="24"/>
      <w:lang w:eastAsia="en-AU"/>
    </w:rPr>
  </w:style>
  <w:style w:type="paragraph" w:customStyle="1" w:styleId="Bullet5">
    <w:name w:val="Bullet 5"/>
    <w:basedOn w:val="ListParagraph"/>
    <w:next w:val="Normal"/>
    <w:link w:val="Bullet5Char"/>
    <w:uiPriority w:val="99"/>
    <w:qFormat/>
    <w:rsid w:val="002565D1"/>
    <w:pPr>
      <w:numPr>
        <w:ilvl w:val="4"/>
        <w:numId w:val="3"/>
      </w:numPr>
      <w:ind w:left="1418" w:hanging="284"/>
    </w:pPr>
    <w:rPr>
      <w:lang w:eastAsia="en-AU"/>
    </w:rPr>
  </w:style>
  <w:style w:type="character" w:customStyle="1" w:styleId="Bullet4Char">
    <w:name w:val="Bullet 4 Char"/>
    <w:basedOn w:val="ListParagraphChar"/>
    <w:link w:val="Bullet4"/>
    <w:rsid w:val="002565D1"/>
    <w:rPr>
      <w:rFonts w:ascii="Times New Roman" w:hAnsi="Times New Roman" w:cs="Times New Roman"/>
      <w:sz w:val="24"/>
      <w:szCs w:val="24"/>
      <w:lang w:eastAsia="en-AU"/>
    </w:rPr>
  </w:style>
  <w:style w:type="character" w:customStyle="1" w:styleId="Bullet5Char">
    <w:name w:val="Bullet 5 Char"/>
    <w:basedOn w:val="ListParagraphChar"/>
    <w:link w:val="Bullet5"/>
    <w:rsid w:val="002565D1"/>
    <w:rPr>
      <w:rFonts w:ascii="Times New Roman" w:hAnsi="Times New Roman" w:cs="Times New Roman"/>
      <w:sz w:val="24"/>
      <w:szCs w:val="24"/>
      <w:lang w:eastAsia="en-AU"/>
    </w:rPr>
  </w:style>
  <w:style w:type="paragraph" w:styleId="NormalWeb">
    <w:name w:val="Normal (Web)"/>
    <w:basedOn w:val="Normal"/>
    <w:uiPriority w:val="99"/>
    <w:semiHidden/>
    <w:unhideWhenUsed/>
    <w:rsid w:val="00BF3D64"/>
  </w:style>
  <w:style w:type="character" w:styleId="CommentReference">
    <w:name w:val="annotation reference"/>
    <w:basedOn w:val="DefaultParagraphFont"/>
    <w:uiPriority w:val="99"/>
    <w:semiHidden/>
    <w:unhideWhenUsed/>
    <w:rsid w:val="00DE3E8C"/>
    <w:rPr>
      <w:sz w:val="16"/>
      <w:szCs w:val="16"/>
    </w:rPr>
  </w:style>
  <w:style w:type="paragraph" w:styleId="CommentText">
    <w:name w:val="annotation text"/>
    <w:basedOn w:val="Normal"/>
    <w:link w:val="CommentTextChar"/>
    <w:uiPriority w:val="99"/>
    <w:unhideWhenUsed/>
    <w:rsid w:val="00DE3E8C"/>
    <w:rPr>
      <w:sz w:val="20"/>
      <w:szCs w:val="20"/>
    </w:rPr>
  </w:style>
  <w:style w:type="character" w:customStyle="1" w:styleId="CommentTextChar">
    <w:name w:val="Comment Text Char"/>
    <w:basedOn w:val="DefaultParagraphFont"/>
    <w:link w:val="CommentText"/>
    <w:uiPriority w:val="99"/>
    <w:rsid w:val="00DE3E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E8C"/>
    <w:rPr>
      <w:b/>
      <w:bCs/>
    </w:rPr>
  </w:style>
  <w:style w:type="character" w:customStyle="1" w:styleId="CommentSubjectChar">
    <w:name w:val="Comment Subject Char"/>
    <w:basedOn w:val="CommentTextChar"/>
    <w:link w:val="CommentSubject"/>
    <w:uiPriority w:val="99"/>
    <w:semiHidden/>
    <w:rsid w:val="00DE3E8C"/>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681078"/>
    <w:pPr>
      <w:spacing w:after="0"/>
    </w:pPr>
    <w:rPr>
      <w:sz w:val="20"/>
      <w:szCs w:val="20"/>
    </w:rPr>
  </w:style>
  <w:style w:type="character" w:customStyle="1" w:styleId="FootnoteTextChar">
    <w:name w:val="Footnote Text Char"/>
    <w:basedOn w:val="DefaultParagraphFont"/>
    <w:link w:val="FootnoteText"/>
    <w:uiPriority w:val="99"/>
    <w:semiHidden/>
    <w:rsid w:val="0068107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81078"/>
    <w:rPr>
      <w:vertAlign w:val="superscript"/>
    </w:rPr>
  </w:style>
  <w:style w:type="paragraph" w:styleId="Revision">
    <w:name w:val="Revision"/>
    <w:hidden/>
    <w:uiPriority w:val="99"/>
    <w:semiHidden/>
    <w:rsid w:val="00395A4E"/>
    <w:pPr>
      <w:spacing w:after="0"/>
    </w:pPr>
    <w:rPr>
      <w:rFonts w:ascii="Times New Roman" w:hAnsi="Times New Roman" w:cs="Times New Roman"/>
      <w:sz w:val="24"/>
      <w:szCs w:val="24"/>
    </w:rPr>
  </w:style>
  <w:style w:type="paragraph" w:styleId="Title">
    <w:name w:val="Title"/>
    <w:aliases w:val="PBO Title"/>
    <w:basedOn w:val="Heading1"/>
    <w:next w:val="Subtitle"/>
    <w:link w:val="TitleChar"/>
    <w:qFormat/>
    <w:rsid w:val="00A734A7"/>
    <w:pPr>
      <w:spacing w:before="4300" w:after="60"/>
      <w:outlineLvl w:val="9"/>
    </w:pPr>
    <w:rPr>
      <w:rFonts w:ascii="Georgia" w:hAnsi="Georgia"/>
      <w:b w:val="0"/>
      <w:bCs/>
      <w:caps w:val="0"/>
      <w:color w:val="264A76"/>
      <w:kern w:val="32"/>
      <w:sz w:val="44"/>
      <w:szCs w:val="44"/>
    </w:rPr>
  </w:style>
  <w:style w:type="character" w:customStyle="1" w:styleId="TitleChar">
    <w:name w:val="Title Char"/>
    <w:aliases w:val="PBO Title Char"/>
    <w:basedOn w:val="DefaultParagraphFont"/>
    <w:link w:val="Title"/>
    <w:rsid w:val="00A734A7"/>
    <w:rPr>
      <w:rFonts w:ascii="Georgia" w:eastAsia="Times New Roman" w:hAnsi="Georgia" w:cs="Times New Roman"/>
      <w:bCs/>
      <w:color w:val="264A76"/>
      <w:kern w:val="32"/>
      <w:sz w:val="44"/>
      <w:szCs w:val="44"/>
      <w:lang w:eastAsia="en-AU"/>
    </w:rPr>
  </w:style>
  <w:style w:type="paragraph" w:customStyle="1" w:styleId="PBOheading1">
    <w:name w:val="PBO heading 1"/>
    <w:basedOn w:val="Heading1"/>
    <w:next w:val="Normal"/>
    <w:uiPriority w:val="1"/>
    <w:qFormat/>
    <w:rsid w:val="00A55569"/>
    <w:pPr>
      <w:spacing w:before="680" w:after="480"/>
    </w:pPr>
    <w:rPr>
      <w:rFonts w:ascii="Georgia" w:hAnsi="Georgia"/>
      <w:b w:val="0"/>
      <w:bCs/>
      <w:caps w:val="0"/>
      <w:color w:val="264A76"/>
      <w:kern w:val="32"/>
      <w:sz w:val="36"/>
      <w:szCs w:val="24"/>
      <w:lang w:eastAsia="en-US"/>
    </w:rPr>
  </w:style>
  <w:style w:type="paragraph" w:customStyle="1" w:styleId="PBOheading2">
    <w:name w:val="PBO heading 2"/>
    <w:basedOn w:val="Heading2"/>
    <w:next w:val="Normal"/>
    <w:uiPriority w:val="1"/>
    <w:qFormat/>
    <w:rsid w:val="00A55569"/>
    <w:pPr>
      <w:keepLines/>
      <w:spacing w:before="320" w:after="170" w:line="288" w:lineRule="auto"/>
    </w:pPr>
    <w:rPr>
      <w:rFonts w:asciiTheme="majorHAnsi" w:eastAsiaTheme="majorEastAsia" w:hAnsiTheme="majorHAnsi" w:cstheme="majorBidi"/>
      <w:b w:val="0"/>
      <w:bCs/>
      <w:color w:val="264A76"/>
      <w:sz w:val="30"/>
      <w:szCs w:val="26"/>
      <w:lang w:eastAsia="en-AU"/>
    </w:rPr>
  </w:style>
  <w:style w:type="paragraph" w:customStyle="1" w:styleId="PBOtext">
    <w:name w:val="PBO text"/>
    <w:basedOn w:val="Normal"/>
    <w:uiPriority w:val="99"/>
    <w:qFormat/>
    <w:rsid w:val="00A55569"/>
    <w:pPr>
      <w:spacing w:before="120" w:after="113"/>
    </w:pPr>
    <w:rPr>
      <w:rFonts w:eastAsia="Cambria"/>
      <w:szCs w:val="20"/>
      <w:lang w:eastAsia="en-AU"/>
    </w:rPr>
  </w:style>
  <w:style w:type="paragraph" w:customStyle="1" w:styleId="PBOfiguretableheading">
    <w:name w:val="PBO figure/table heading"/>
    <w:uiPriority w:val="2"/>
    <w:qFormat/>
    <w:rsid w:val="00A55569"/>
    <w:pPr>
      <w:spacing w:before="200" w:after="113" w:line="288" w:lineRule="auto"/>
    </w:pPr>
    <w:rPr>
      <w:rFonts w:ascii="Calibri" w:eastAsia="Cambria" w:hAnsi="Calibri" w:cs="Times New Roman"/>
      <w:b/>
      <w:i/>
      <w:color w:val="2B3B5F"/>
      <w:sz w:val="20"/>
      <w:szCs w:val="24"/>
    </w:rPr>
  </w:style>
  <w:style w:type="table" w:customStyle="1" w:styleId="PBOtable">
    <w:name w:val="PBO table"/>
    <w:basedOn w:val="TableNormal"/>
    <w:qFormat/>
    <w:rsid w:val="00543268"/>
    <w:pPr>
      <w:spacing w:after="0"/>
    </w:pPr>
    <w:rPr>
      <w:rFonts w:ascii="Calibri" w:eastAsia="Cambria" w:hAnsi="Calibri" w:cs="Times New Roman"/>
      <w:sz w:val="18"/>
      <w:szCs w:val="20"/>
      <w:lang w:eastAsia="en-AU"/>
    </w:rPr>
    <w:tblPr>
      <w:tblStyleRowBandSize w:val="1"/>
      <w:tblStyleColBandSize w:val="1"/>
    </w:tblPr>
    <w:tcPr>
      <w:shd w:val="clear" w:color="auto" w:fill="95A4C6"/>
      <w:vAlign w:val="center"/>
    </w:tcPr>
    <w:tblStylePr w:type="firstRow">
      <w:pPr>
        <w:jc w:val="center"/>
      </w:pPr>
      <w:rPr>
        <w:rFonts w:ascii="Calibri" w:hAnsi="Calibri"/>
        <w:b/>
        <w:color w:val="FFFFFF" w:themeColor="background1"/>
        <w:sz w:val="18"/>
      </w:rPr>
      <w:tblPr/>
      <w:tcPr>
        <w:shd w:val="clear" w:color="auto" w:fill="264A76"/>
      </w:tcPr>
    </w:tblStylePr>
    <w:tblStylePr w:type="firstCol">
      <w:pPr>
        <w:jc w:val="left"/>
      </w:pPr>
      <w:rPr>
        <w:rFonts w:ascii="Calibri" w:hAnsi="Calibri"/>
        <w:b/>
        <w:sz w:val="18"/>
      </w:rPr>
      <w:tblPr/>
      <w:tcPr>
        <w:vAlign w:val="center"/>
      </w:tcPr>
    </w:tblStylePr>
    <w:tblStylePr w:type="lastCol">
      <w:rPr>
        <w:rFonts w:ascii="Calibri" w:hAnsi="Calibri"/>
        <w:sz w:val="18"/>
      </w:rPr>
    </w:tblStylePr>
    <w:tblStylePr w:type="band1Horz">
      <w:pPr>
        <w:jc w:val="center"/>
      </w:pPr>
      <w:rPr>
        <w:color w:val="auto"/>
      </w:rPr>
      <w:tblPr/>
      <w:tcPr>
        <w:shd w:val="clear" w:color="auto" w:fill="D8DCE5"/>
      </w:tcPr>
    </w:tblStylePr>
    <w:tblStylePr w:type="band2Horz">
      <w:pPr>
        <w:jc w:val="center"/>
      </w:pPr>
      <w:rPr>
        <w:rFonts w:ascii="Calibri" w:hAnsi="Calibri"/>
        <w:sz w:val="18"/>
      </w:rPr>
      <w:tblPr/>
      <w:tcPr>
        <w:shd w:val="clear" w:color="auto" w:fill="FFFFFF" w:themeFill="background1"/>
      </w:tcPr>
    </w:tblStylePr>
  </w:style>
  <w:style w:type="paragraph" w:customStyle="1" w:styleId="TableHeading">
    <w:name w:val="Table Heading"/>
    <w:basedOn w:val="Normal"/>
    <w:qFormat/>
    <w:rsid w:val="00C71962"/>
    <w:pPr>
      <w:keepNext/>
      <w:keepLines/>
      <w:spacing w:before="70" w:after="70" w:line="260" w:lineRule="atLeast"/>
      <w:ind w:left="113" w:right="113"/>
    </w:pPr>
    <w:rPr>
      <w:rFonts w:asciiTheme="minorHAnsi" w:hAnsiTheme="minorHAnsi"/>
      <w:b/>
      <w:color w:val="FFFFFF"/>
      <w:sz w:val="20"/>
      <w:szCs w:val="20"/>
    </w:rPr>
  </w:style>
  <w:style w:type="paragraph" w:customStyle="1" w:styleId="TableHeadingCentred">
    <w:name w:val="Table Heading Centred"/>
    <w:basedOn w:val="TableHeading"/>
    <w:rsid w:val="00C71962"/>
    <w:pPr>
      <w:jc w:val="center"/>
    </w:pPr>
    <w:rPr>
      <w:color w:val="auto"/>
    </w:rPr>
  </w:style>
  <w:style w:type="paragraph" w:customStyle="1" w:styleId="TableText">
    <w:name w:val="Table Text"/>
    <w:basedOn w:val="Normal"/>
    <w:rsid w:val="00C71962"/>
    <w:pPr>
      <w:spacing w:before="70" w:after="70" w:line="260" w:lineRule="atLeast"/>
      <w:ind w:left="113" w:right="113"/>
    </w:pPr>
    <w:rPr>
      <w:rFonts w:asciiTheme="minorHAnsi" w:hAnsiTheme="minorHAnsi"/>
      <w:sz w:val="20"/>
      <w:szCs w:val="20"/>
    </w:rPr>
  </w:style>
  <w:style w:type="paragraph" w:customStyle="1" w:styleId="TableTextCentred">
    <w:name w:val="Table Text Centred"/>
    <w:basedOn w:val="TableText"/>
    <w:rsid w:val="00C71962"/>
    <w:pPr>
      <w:jc w:val="center"/>
    </w:pPr>
    <w:rPr>
      <w:rFonts w:eastAsia="Times New Roman"/>
      <w:lang w:eastAsia="en-AU"/>
    </w:rPr>
  </w:style>
  <w:style w:type="table" w:customStyle="1" w:styleId="TableGrid1">
    <w:name w:val="Table Grid1"/>
    <w:basedOn w:val="TableNormal"/>
    <w:next w:val="TableGrid"/>
    <w:rsid w:val="00C71962"/>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
    <w:name w:val="Table Grid2"/>
    <w:basedOn w:val="TableNormal"/>
    <w:next w:val="TableGrid"/>
    <w:rsid w:val="00E76371"/>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customStyle="1" w:styleId="Default">
    <w:name w:val="Default"/>
    <w:rsid w:val="004F1A32"/>
    <w:pPr>
      <w:autoSpaceDE w:val="0"/>
      <w:autoSpaceDN w:val="0"/>
      <w:adjustRightInd w:val="0"/>
      <w:spacing w:after="0"/>
    </w:pPr>
    <w:rPr>
      <w:rFonts w:ascii="Georgia" w:hAnsi="Georgia" w:cs="Georgia"/>
      <w:color w:val="000000"/>
      <w:sz w:val="24"/>
      <w:szCs w:val="24"/>
    </w:rPr>
  </w:style>
  <w:style w:type="paragraph" w:styleId="PlainText">
    <w:name w:val="Plain Text"/>
    <w:basedOn w:val="Normal"/>
    <w:link w:val="PlainTextChar"/>
    <w:uiPriority w:val="99"/>
    <w:unhideWhenUsed/>
    <w:rsid w:val="00873004"/>
    <w:pPr>
      <w:spacing w:after="0"/>
    </w:pPr>
    <w:rPr>
      <w:rFonts w:cstheme="minorBidi"/>
      <w:szCs w:val="21"/>
    </w:rPr>
  </w:style>
  <w:style w:type="character" w:customStyle="1" w:styleId="PlainTextChar">
    <w:name w:val="Plain Text Char"/>
    <w:basedOn w:val="DefaultParagraphFont"/>
    <w:link w:val="PlainText"/>
    <w:uiPriority w:val="99"/>
    <w:rsid w:val="00873004"/>
    <w:rPr>
      <w:rFonts w:ascii="Calibri" w:hAnsi="Calibri"/>
      <w:szCs w:val="21"/>
    </w:rPr>
  </w:style>
  <w:style w:type="table" w:customStyle="1" w:styleId="TableGrid11">
    <w:name w:val="Table Grid11"/>
    <w:basedOn w:val="TableNormal"/>
    <w:next w:val="TableGrid"/>
    <w:rsid w:val="00764FC5"/>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1">
    <w:name w:val="Table Grid21"/>
    <w:basedOn w:val="TableNormal"/>
    <w:next w:val="TableGrid"/>
    <w:rsid w:val="006F4E2B"/>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styleId="EndnoteText">
    <w:name w:val="endnote text"/>
    <w:basedOn w:val="Normal"/>
    <w:link w:val="EndnoteTextChar"/>
    <w:uiPriority w:val="99"/>
    <w:semiHidden/>
    <w:unhideWhenUsed/>
    <w:rsid w:val="003B1CA0"/>
    <w:pPr>
      <w:spacing w:after="0"/>
    </w:pPr>
    <w:rPr>
      <w:sz w:val="20"/>
      <w:szCs w:val="20"/>
    </w:rPr>
  </w:style>
  <w:style w:type="character" w:customStyle="1" w:styleId="EndnoteTextChar">
    <w:name w:val="Endnote Text Char"/>
    <w:basedOn w:val="DefaultParagraphFont"/>
    <w:link w:val="EndnoteText"/>
    <w:uiPriority w:val="99"/>
    <w:semiHidden/>
    <w:rsid w:val="003B1CA0"/>
    <w:rPr>
      <w:rFonts w:ascii="Calibri" w:hAnsi="Calibri" w:cs="Times New Roman"/>
      <w:sz w:val="20"/>
      <w:szCs w:val="20"/>
    </w:rPr>
  </w:style>
  <w:style w:type="character" w:styleId="EndnoteReference">
    <w:name w:val="endnote reference"/>
    <w:basedOn w:val="DefaultParagraphFont"/>
    <w:uiPriority w:val="99"/>
    <w:semiHidden/>
    <w:unhideWhenUsed/>
    <w:rsid w:val="003B1CA0"/>
    <w:rPr>
      <w:vertAlign w:val="superscript"/>
    </w:rPr>
  </w:style>
  <w:style w:type="table" w:customStyle="1" w:styleId="TableGrid3">
    <w:name w:val="Table Grid3"/>
    <w:basedOn w:val="TableNormal"/>
    <w:next w:val="TableGrid"/>
    <w:rsid w:val="002852A0"/>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customStyle="1" w:styleId="TableTextNumber">
    <w:name w:val="Table Text Number"/>
    <w:basedOn w:val="TableText"/>
    <w:qFormat/>
    <w:rsid w:val="002852A0"/>
    <w:pPr>
      <w:ind w:left="0"/>
    </w:pPr>
  </w:style>
  <w:style w:type="paragraph" w:customStyle="1" w:styleId="TableTextNumber2">
    <w:name w:val="Table Text Number 2"/>
    <w:basedOn w:val="TableTextNumber"/>
    <w:qFormat/>
    <w:rsid w:val="002852A0"/>
    <w:rPr>
      <w:rFonts w:eastAsia="Times New Roman"/>
      <w:sz w:val="16"/>
      <w:szCs w:val="16"/>
      <w:lang w:eastAsia="en-AU"/>
    </w:rPr>
  </w:style>
  <w:style w:type="paragraph" w:customStyle="1" w:styleId="TableTextNumber3">
    <w:name w:val="Table Text Number 3"/>
    <w:basedOn w:val="TableTextNumber2"/>
    <w:rsid w:val="002852A0"/>
  </w:style>
  <w:style w:type="paragraph" w:customStyle="1" w:styleId="OverviewBodyText">
    <w:name w:val="Overview Body Text"/>
    <w:basedOn w:val="Normal"/>
    <w:rsid w:val="00432353"/>
    <w:pPr>
      <w:spacing w:after="113" w:line="300" w:lineRule="atLeast"/>
    </w:pPr>
    <w:rPr>
      <w:rFonts w:asciiTheme="minorHAnsi" w:hAnsiTheme="minorHAnsi" w:cstheme="minorBidi"/>
      <w:szCs w:val="22"/>
    </w:rPr>
  </w:style>
  <w:style w:type="paragraph" w:styleId="ListBullet">
    <w:name w:val="List Bullet"/>
    <w:basedOn w:val="Normal"/>
    <w:uiPriority w:val="99"/>
    <w:unhideWhenUsed/>
    <w:rsid w:val="007737A9"/>
    <w:pPr>
      <w:numPr>
        <w:numId w:val="36"/>
      </w:numPr>
      <w:spacing w:after="113" w:line="300" w:lineRule="atLeast"/>
    </w:pPr>
    <w:rPr>
      <w:spacing w:val="-1"/>
      <w:sz w:val="28"/>
      <w:szCs w:val="28"/>
    </w:rPr>
  </w:style>
  <w:style w:type="paragraph" w:styleId="ListBullet2">
    <w:name w:val="List Bullet 2"/>
    <w:basedOn w:val="Normal"/>
    <w:uiPriority w:val="99"/>
    <w:semiHidden/>
    <w:unhideWhenUsed/>
    <w:rsid w:val="007737A9"/>
    <w:pPr>
      <w:numPr>
        <w:ilvl w:val="1"/>
        <w:numId w:val="36"/>
      </w:numPr>
      <w:spacing w:after="113" w:line="300" w:lineRule="atLeast"/>
    </w:pPr>
    <w:rPr>
      <w:spacing w:val="-1"/>
      <w:sz w:val="28"/>
      <w:szCs w:val="28"/>
    </w:rPr>
  </w:style>
  <w:style w:type="paragraph" w:styleId="ListBullet3">
    <w:name w:val="List Bullet 3"/>
    <w:basedOn w:val="Normal"/>
    <w:uiPriority w:val="99"/>
    <w:semiHidden/>
    <w:unhideWhenUsed/>
    <w:rsid w:val="007737A9"/>
    <w:pPr>
      <w:numPr>
        <w:ilvl w:val="2"/>
        <w:numId w:val="36"/>
      </w:numPr>
      <w:spacing w:after="113" w:line="300" w:lineRule="atLeast"/>
    </w:pPr>
    <w:rPr>
      <w:spacing w:val="-1"/>
      <w:sz w:val="28"/>
      <w:szCs w:val="28"/>
    </w:rPr>
  </w:style>
  <w:style w:type="character" w:styleId="Hyperlink">
    <w:name w:val="Hyperlink"/>
    <w:basedOn w:val="DefaultParagraphFont"/>
    <w:uiPriority w:val="99"/>
    <w:semiHidden/>
    <w:unhideWhenUsed/>
    <w:rsid w:val="000652EF"/>
    <w:rPr>
      <w:color w:val="0000FF"/>
      <w:u w:val="single"/>
    </w:rPr>
  </w:style>
  <w:style w:type="character" w:styleId="FollowedHyperlink">
    <w:name w:val="FollowedHyperlink"/>
    <w:basedOn w:val="DefaultParagraphFont"/>
    <w:uiPriority w:val="99"/>
    <w:semiHidden/>
    <w:unhideWhenUsed/>
    <w:rsid w:val="000652EF"/>
    <w:rPr>
      <w:color w:val="800080" w:themeColor="followedHyperlink"/>
      <w:u w:val="single"/>
    </w:rPr>
  </w:style>
  <w:style w:type="paragraph" w:customStyle="1" w:styleId="AppendixTitle1">
    <w:name w:val="Appendix Title1"/>
    <w:basedOn w:val="Normal"/>
    <w:next w:val="BodyText"/>
    <w:rsid w:val="00C30B07"/>
    <w:pPr>
      <w:keepNext/>
      <w:keepLines/>
      <w:numPr>
        <w:numId w:val="42"/>
      </w:numPr>
      <w:tabs>
        <w:tab w:val="num" w:pos="284"/>
        <w:tab w:val="left" w:pos="4536"/>
      </w:tabs>
      <w:spacing w:before="480" w:after="340" w:line="300" w:lineRule="atLeast"/>
      <w:ind w:left="284" w:hanging="284"/>
      <w:outlineLvl w:val="7"/>
    </w:pPr>
    <w:rPr>
      <w:rFonts w:ascii="Georgia" w:eastAsia="Times New Roman" w:hAnsi="Georgia"/>
      <w:color w:val="2B3B5F"/>
      <w:sz w:val="40"/>
      <w:szCs w:val="22"/>
    </w:rPr>
  </w:style>
  <w:style w:type="paragraph" w:customStyle="1" w:styleId="AppendixHeading11">
    <w:name w:val="Appendix Heading 11"/>
    <w:basedOn w:val="Normal"/>
    <w:next w:val="BodyText"/>
    <w:rsid w:val="00C30B07"/>
    <w:pPr>
      <w:keepNext/>
      <w:keepLines/>
      <w:numPr>
        <w:ilvl w:val="1"/>
        <w:numId w:val="42"/>
      </w:numPr>
      <w:tabs>
        <w:tab w:val="clear" w:pos="0"/>
        <w:tab w:val="num" w:pos="284"/>
        <w:tab w:val="left" w:pos="1559"/>
        <w:tab w:val="left" w:pos="1843"/>
        <w:tab w:val="left" w:pos="2126"/>
        <w:tab w:val="left" w:pos="2410"/>
      </w:tabs>
      <w:spacing w:before="470" w:after="227" w:line="300" w:lineRule="atLeast"/>
      <w:ind w:left="284" w:hanging="284"/>
      <w:outlineLvl w:val="8"/>
    </w:pPr>
    <w:rPr>
      <w:rFonts w:ascii="Georgia" w:hAnsi="Georgia"/>
      <w:color w:val="2B3B5F"/>
      <w:sz w:val="32"/>
      <w:szCs w:val="22"/>
    </w:rPr>
  </w:style>
  <w:style w:type="paragraph" w:customStyle="1" w:styleId="AppendixHeading2">
    <w:name w:val="Appendix Heading 2"/>
    <w:basedOn w:val="Normal"/>
    <w:next w:val="BodyText"/>
    <w:rsid w:val="00C30B07"/>
    <w:pPr>
      <w:keepNext/>
      <w:keepLines/>
      <w:numPr>
        <w:ilvl w:val="2"/>
        <w:numId w:val="42"/>
      </w:numPr>
      <w:tabs>
        <w:tab w:val="clear" w:pos="0"/>
        <w:tab w:val="num" w:pos="284"/>
        <w:tab w:val="left" w:pos="1559"/>
        <w:tab w:val="left" w:pos="1843"/>
        <w:tab w:val="left" w:pos="2126"/>
        <w:tab w:val="left" w:pos="2410"/>
      </w:tabs>
      <w:spacing w:before="470" w:after="227" w:line="300" w:lineRule="atLeast"/>
      <w:ind w:left="284" w:hanging="284"/>
    </w:pPr>
    <w:rPr>
      <w:rFonts w:ascii="Georgia" w:hAnsi="Georgia"/>
      <w:color w:val="2B3B5F"/>
      <w:sz w:val="28"/>
      <w:szCs w:val="22"/>
    </w:rPr>
  </w:style>
  <w:style w:type="paragraph" w:customStyle="1" w:styleId="AppendixHeading3">
    <w:name w:val="Appendix Heading 3"/>
    <w:basedOn w:val="Normal"/>
    <w:next w:val="BodyText"/>
    <w:rsid w:val="00C30B07"/>
    <w:pPr>
      <w:keepNext/>
      <w:keepLines/>
      <w:numPr>
        <w:ilvl w:val="3"/>
        <w:numId w:val="42"/>
      </w:numPr>
      <w:tabs>
        <w:tab w:val="clear" w:pos="0"/>
        <w:tab w:val="num" w:pos="284"/>
        <w:tab w:val="left" w:pos="1559"/>
        <w:tab w:val="left" w:pos="1843"/>
        <w:tab w:val="left" w:pos="2126"/>
        <w:tab w:val="left" w:pos="2410"/>
        <w:tab w:val="left" w:pos="6804"/>
      </w:tabs>
      <w:spacing w:before="227" w:after="113" w:line="300" w:lineRule="atLeast"/>
      <w:ind w:left="284" w:hanging="284"/>
    </w:pPr>
    <w:rPr>
      <w:b/>
      <w:color w:val="2B3B5F"/>
      <w:szCs w:val="22"/>
    </w:rPr>
  </w:style>
  <w:style w:type="paragraph" w:customStyle="1" w:styleId="FooterRight">
    <w:name w:val="Footer Right"/>
    <w:basedOn w:val="Normal"/>
    <w:next w:val="Footer"/>
    <w:rsid w:val="00C30B07"/>
    <w:pPr>
      <w:framePr w:wrap="around" w:vAnchor="page" w:hAnchor="margin" w:xAlign="right" w:yAlign="bottom"/>
      <w:spacing w:before="180" w:after="120"/>
      <w:ind w:left="397" w:right="397"/>
      <w:jc w:val="right"/>
    </w:pPr>
    <w:rPr>
      <w:b/>
      <w:spacing w:val="-2"/>
      <w:sz w:val="18"/>
      <w:szCs w:val="22"/>
    </w:rPr>
  </w:style>
  <w:style w:type="table" w:customStyle="1" w:styleId="PullOutBoxTable">
    <w:name w:val="Pull Out Box Table"/>
    <w:basedOn w:val="TableNormal"/>
    <w:uiPriority w:val="99"/>
    <w:rsid w:val="00C30B07"/>
    <w:pPr>
      <w:spacing w:after="0"/>
    </w:pPr>
    <w:rPr>
      <w:rFonts w:eastAsia="Times New Roman" w:cs="Arial"/>
      <w:lang w:eastAsia="en-AU"/>
    </w:rPr>
    <w:tblPr>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CellMar>
        <w:top w:w="28" w:type="dxa"/>
        <w:left w:w="0" w:type="dxa"/>
        <w:bottom w:w="28" w:type="dxa"/>
        <w:right w:w="0" w:type="dxa"/>
      </w:tblCellMar>
    </w:tblPr>
    <w:tcPr>
      <w:shd w:val="clear" w:color="auto" w:fill="D7DDE9"/>
    </w:tcPr>
  </w:style>
  <w:style w:type="paragraph" w:styleId="BodyText">
    <w:name w:val="Body Text"/>
    <w:basedOn w:val="Normal"/>
    <w:link w:val="BodyTextChar"/>
    <w:uiPriority w:val="99"/>
    <w:semiHidden/>
    <w:unhideWhenUsed/>
    <w:rsid w:val="00C30B07"/>
    <w:pPr>
      <w:spacing w:after="120"/>
    </w:pPr>
  </w:style>
  <w:style w:type="character" w:customStyle="1" w:styleId="BodyTextChar">
    <w:name w:val="Body Text Char"/>
    <w:basedOn w:val="DefaultParagraphFont"/>
    <w:link w:val="BodyText"/>
    <w:uiPriority w:val="99"/>
    <w:semiHidden/>
    <w:rsid w:val="00C30B07"/>
    <w:rPr>
      <w:rFonts w:ascii="Calibri"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8201">
      <w:bodyDiv w:val="1"/>
      <w:marLeft w:val="0"/>
      <w:marRight w:val="0"/>
      <w:marTop w:val="0"/>
      <w:marBottom w:val="0"/>
      <w:divBdr>
        <w:top w:val="none" w:sz="0" w:space="0" w:color="auto"/>
        <w:left w:val="none" w:sz="0" w:space="0" w:color="auto"/>
        <w:bottom w:val="none" w:sz="0" w:space="0" w:color="auto"/>
        <w:right w:val="none" w:sz="0" w:space="0" w:color="auto"/>
      </w:divBdr>
    </w:div>
    <w:div w:id="70085269">
      <w:bodyDiv w:val="1"/>
      <w:marLeft w:val="0"/>
      <w:marRight w:val="0"/>
      <w:marTop w:val="0"/>
      <w:marBottom w:val="0"/>
      <w:divBdr>
        <w:top w:val="none" w:sz="0" w:space="0" w:color="auto"/>
        <w:left w:val="none" w:sz="0" w:space="0" w:color="auto"/>
        <w:bottom w:val="none" w:sz="0" w:space="0" w:color="auto"/>
        <w:right w:val="none" w:sz="0" w:space="0" w:color="auto"/>
      </w:divBdr>
    </w:div>
    <w:div w:id="77291559">
      <w:bodyDiv w:val="1"/>
      <w:marLeft w:val="0"/>
      <w:marRight w:val="0"/>
      <w:marTop w:val="0"/>
      <w:marBottom w:val="0"/>
      <w:divBdr>
        <w:top w:val="none" w:sz="0" w:space="0" w:color="auto"/>
        <w:left w:val="none" w:sz="0" w:space="0" w:color="auto"/>
        <w:bottom w:val="none" w:sz="0" w:space="0" w:color="auto"/>
        <w:right w:val="none" w:sz="0" w:space="0" w:color="auto"/>
      </w:divBdr>
    </w:div>
    <w:div w:id="79328208">
      <w:bodyDiv w:val="1"/>
      <w:marLeft w:val="0"/>
      <w:marRight w:val="0"/>
      <w:marTop w:val="0"/>
      <w:marBottom w:val="0"/>
      <w:divBdr>
        <w:top w:val="none" w:sz="0" w:space="0" w:color="auto"/>
        <w:left w:val="none" w:sz="0" w:space="0" w:color="auto"/>
        <w:bottom w:val="none" w:sz="0" w:space="0" w:color="auto"/>
        <w:right w:val="none" w:sz="0" w:space="0" w:color="auto"/>
      </w:divBdr>
    </w:div>
    <w:div w:id="242646002">
      <w:bodyDiv w:val="1"/>
      <w:marLeft w:val="0"/>
      <w:marRight w:val="0"/>
      <w:marTop w:val="0"/>
      <w:marBottom w:val="0"/>
      <w:divBdr>
        <w:top w:val="none" w:sz="0" w:space="0" w:color="auto"/>
        <w:left w:val="none" w:sz="0" w:space="0" w:color="auto"/>
        <w:bottom w:val="none" w:sz="0" w:space="0" w:color="auto"/>
        <w:right w:val="none" w:sz="0" w:space="0" w:color="auto"/>
      </w:divBdr>
    </w:div>
    <w:div w:id="287668639">
      <w:bodyDiv w:val="1"/>
      <w:marLeft w:val="0"/>
      <w:marRight w:val="0"/>
      <w:marTop w:val="0"/>
      <w:marBottom w:val="0"/>
      <w:divBdr>
        <w:top w:val="none" w:sz="0" w:space="0" w:color="auto"/>
        <w:left w:val="none" w:sz="0" w:space="0" w:color="auto"/>
        <w:bottom w:val="none" w:sz="0" w:space="0" w:color="auto"/>
        <w:right w:val="none" w:sz="0" w:space="0" w:color="auto"/>
      </w:divBdr>
    </w:div>
    <w:div w:id="328868213">
      <w:bodyDiv w:val="1"/>
      <w:marLeft w:val="0"/>
      <w:marRight w:val="0"/>
      <w:marTop w:val="0"/>
      <w:marBottom w:val="0"/>
      <w:divBdr>
        <w:top w:val="none" w:sz="0" w:space="0" w:color="auto"/>
        <w:left w:val="none" w:sz="0" w:space="0" w:color="auto"/>
        <w:bottom w:val="none" w:sz="0" w:space="0" w:color="auto"/>
        <w:right w:val="none" w:sz="0" w:space="0" w:color="auto"/>
      </w:divBdr>
    </w:div>
    <w:div w:id="332414468">
      <w:bodyDiv w:val="1"/>
      <w:marLeft w:val="0"/>
      <w:marRight w:val="0"/>
      <w:marTop w:val="0"/>
      <w:marBottom w:val="0"/>
      <w:divBdr>
        <w:top w:val="none" w:sz="0" w:space="0" w:color="auto"/>
        <w:left w:val="none" w:sz="0" w:space="0" w:color="auto"/>
        <w:bottom w:val="none" w:sz="0" w:space="0" w:color="auto"/>
        <w:right w:val="none" w:sz="0" w:space="0" w:color="auto"/>
      </w:divBdr>
    </w:div>
    <w:div w:id="349994608">
      <w:bodyDiv w:val="1"/>
      <w:marLeft w:val="0"/>
      <w:marRight w:val="0"/>
      <w:marTop w:val="0"/>
      <w:marBottom w:val="0"/>
      <w:divBdr>
        <w:top w:val="none" w:sz="0" w:space="0" w:color="auto"/>
        <w:left w:val="none" w:sz="0" w:space="0" w:color="auto"/>
        <w:bottom w:val="none" w:sz="0" w:space="0" w:color="auto"/>
        <w:right w:val="none" w:sz="0" w:space="0" w:color="auto"/>
      </w:divBdr>
    </w:div>
    <w:div w:id="369576706">
      <w:bodyDiv w:val="1"/>
      <w:marLeft w:val="0"/>
      <w:marRight w:val="0"/>
      <w:marTop w:val="0"/>
      <w:marBottom w:val="0"/>
      <w:divBdr>
        <w:top w:val="none" w:sz="0" w:space="0" w:color="auto"/>
        <w:left w:val="none" w:sz="0" w:space="0" w:color="auto"/>
        <w:bottom w:val="none" w:sz="0" w:space="0" w:color="auto"/>
        <w:right w:val="none" w:sz="0" w:space="0" w:color="auto"/>
      </w:divBdr>
    </w:div>
    <w:div w:id="420641894">
      <w:bodyDiv w:val="1"/>
      <w:marLeft w:val="0"/>
      <w:marRight w:val="0"/>
      <w:marTop w:val="0"/>
      <w:marBottom w:val="0"/>
      <w:divBdr>
        <w:top w:val="none" w:sz="0" w:space="0" w:color="auto"/>
        <w:left w:val="none" w:sz="0" w:space="0" w:color="auto"/>
        <w:bottom w:val="none" w:sz="0" w:space="0" w:color="auto"/>
        <w:right w:val="none" w:sz="0" w:space="0" w:color="auto"/>
      </w:divBdr>
    </w:div>
    <w:div w:id="455875492">
      <w:bodyDiv w:val="1"/>
      <w:marLeft w:val="0"/>
      <w:marRight w:val="0"/>
      <w:marTop w:val="0"/>
      <w:marBottom w:val="0"/>
      <w:divBdr>
        <w:top w:val="none" w:sz="0" w:space="0" w:color="auto"/>
        <w:left w:val="none" w:sz="0" w:space="0" w:color="auto"/>
        <w:bottom w:val="none" w:sz="0" w:space="0" w:color="auto"/>
        <w:right w:val="none" w:sz="0" w:space="0" w:color="auto"/>
      </w:divBdr>
    </w:div>
    <w:div w:id="513419014">
      <w:bodyDiv w:val="1"/>
      <w:marLeft w:val="0"/>
      <w:marRight w:val="0"/>
      <w:marTop w:val="0"/>
      <w:marBottom w:val="0"/>
      <w:divBdr>
        <w:top w:val="none" w:sz="0" w:space="0" w:color="auto"/>
        <w:left w:val="none" w:sz="0" w:space="0" w:color="auto"/>
        <w:bottom w:val="none" w:sz="0" w:space="0" w:color="auto"/>
        <w:right w:val="none" w:sz="0" w:space="0" w:color="auto"/>
      </w:divBdr>
    </w:div>
    <w:div w:id="587009434">
      <w:bodyDiv w:val="1"/>
      <w:marLeft w:val="0"/>
      <w:marRight w:val="0"/>
      <w:marTop w:val="0"/>
      <w:marBottom w:val="0"/>
      <w:divBdr>
        <w:top w:val="none" w:sz="0" w:space="0" w:color="auto"/>
        <w:left w:val="none" w:sz="0" w:space="0" w:color="auto"/>
        <w:bottom w:val="none" w:sz="0" w:space="0" w:color="auto"/>
        <w:right w:val="none" w:sz="0" w:space="0" w:color="auto"/>
      </w:divBdr>
    </w:div>
    <w:div w:id="605310042">
      <w:bodyDiv w:val="1"/>
      <w:marLeft w:val="0"/>
      <w:marRight w:val="0"/>
      <w:marTop w:val="0"/>
      <w:marBottom w:val="0"/>
      <w:divBdr>
        <w:top w:val="none" w:sz="0" w:space="0" w:color="auto"/>
        <w:left w:val="none" w:sz="0" w:space="0" w:color="auto"/>
        <w:bottom w:val="none" w:sz="0" w:space="0" w:color="auto"/>
        <w:right w:val="none" w:sz="0" w:space="0" w:color="auto"/>
      </w:divBdr>
    </w:div>
    <w:div w:id="623190876">
      <w:bodyDiv w:val="1"/>
      <w:marLeft w:val="0"/>
      <w:marRight w:val="0"/>
      <w:marTop w:val="0"/>
      <w:marBottom w:val="0"/>
      <w:divBdr>
        <w:top w:val="none" w:sz="0" w:space="0" w:color="auto"/>
        <w:left w:val="none" w:sz="0" w:space="0" w:color="auto"/>
        <w:bottom w:val="none" w:sz="0" w:space="0" w:color="auto"/>
        <w:right w:val="none" w:sz="0" w:space="0" w:color="auto"/>
      </w:divBdr>
    </w:div>
    <w:div w:id="650792176">
      <w:bodyDiv w:val="1"/>
      <w:marLeft w:val="0"/>
      <w:marRight w:val="0"/>
      <w:marTop w:val="0"/>
      <w:marBottom w:val="0"/>
      <w:divBdr>
        <w:top w:val="none" w:sz="0" w:space="0" w:color="auto"/>
        <w:left w:val="none" w:sz="0" w:space="0" w:color="auto"/>
        <w:bottom w:val="none" w:sz="0" w:space="0" w:color="auto"/>
        <w:right w:val="none" w:sz="0" w:space="0" w:color="auto"/>
      </w:divBdr>
    </w:div>
    <w:div w:id="651061456">
      <w:bodyDiv w:val="1"/>
      <w:marLeft w:val="0"/>
      <w:marRight w:val="0"/>
      <w:marTop w:val="0"/>
      <w:marBottom w:val="0"/>
      <w:divBdr>
        <w:top w:val="none" w:sz="0" w:space="0" w:color="auto"/>
        <w:left w:val="none" w:sz="0" w:space="0" w:color="auto"/>
        <w:bottom w:val="none" w:sz="0" w:space="0" w:color="auto"/>
        <w:right w:val="none" w:sz="0" w:space="0" w:color="auto"/>
      </w:divBdr>
    </w:div>
    <w:div w:id="657538990">
      <w:bodyDiv w:val="1"/>
      <w:marLeft w:val="0"/>
      <w:marRight w:val="0"/>
      <w:marTop w:val="0"/>
      <w:marBottom w:val="0"/>
      <w:divBdr>
        <w:top w:val="none" w:sz="0" w:space="0" w:color="auto"/>
        <w:left w:val="none" w:sz="0" w:space="0" w:color="auto"/>
        <w:bottom w:val="none" w:sz="0" w:space="0" w:color="auto"/>
        <w:right w:val="none" w:sz="0" w:space="0" w:color="auto"/>
      </w:divBdr>
    </w:div>
    <w:div w:id="713165247">
      <w:bodyDiv w:val="1"/>
      <w:marLeft w:val="0"/>
      <w:marRight w:val="0"/>
      <w:marTop w:val="0"/>
      <w:marBottom w:val="0"/>
      <w:divBdr>
        <w:top w:val="none" w:sz="0" w:space="0" w:color="auto"/>
        <w:left w:val="none" w:sz="0" w:space="0" w:color="auto"/>
        <w:bottom w:val="none" w:sz="0" w:space="0" w:color="auto"/>
        <w:right w:val="none" w:sz="0" w:space="0" w:color="auto"/>
      </w:divBdr>
    </w:div>
    <w:div w:id="720252416">
      <w:bodyDiv w:val="1"/>
      <w:marLeft w:val="0"/>
      <w:marRight w:val="0"/>
      <w:marTop w:val="0"/>
      <w:marBottom w:val="0"/>
      <w:divBdr>
        <w:top w:val="none" w:sz="0" w:space="0" w:color="auto"/>
        <w:left w:val="none" w:sz="0" w:space="0" w:color="auto"/>
        <w:bottom w:val="none" w:sz="0" w:space="0" w:color="auto"/>
        <w:right w:val="none" w:sz="0" w:space="0" w:color="auto"/>
      </w:divBdr>
    </w:div>
    <w:div w:id="742872543">
      <w:bodyDiv w:val="1"/>
      <w:marLeft w:val="0"/>
      <w:marRight w:val="0"/>
      <w:marTop w:val="0"/>
      <w:marBottom w:val="0"/>
      <w:divBdr>
        <w:top w:val="none" w:sz="0" w:space="0" w:color="auto"/>
        <w:left w:val="none" w:sz="0" w:space="0" w:color="auto"/>
        <w:bottom w:val="none" w:sz="0" w:space="0" w:color="auto"/>
        <w:right w:val="none" w:sz="0" w:space="0" w:color="auto"/>
      </w:divBdr>
    </w:div>
    <w:div w:id="801650745">
      <w:bodyDiv w:val="1"/>
      <w:marLeft w:val="0"/>
      <w:marRight w:val="0"/>
      <w:marTop w:val="0"/>
      <w:marBottom w:val="0"/>
      <w:divBdr>
        <w:top w:val="none" w:sz="0" w:space="0" w:color="auto"/>
        <w:left w:val="none" w:sz="0" w:space="0" w:color="auto"/>
        <w:bottom w:val="none" w:sz="0" w:space="0" w:color="auto"/>
        <w:right w:val="none" w:sz="0" w:space="0" w:color="auto"/>
      </w:divBdr>
    </w:div>
    <w:div w:id="806312877">
      <w:bodyDiv w:val="1"/>
      <w:marLeft w:val="0"/>
      <w:marRight w:val="0"/>
      <w:marTop w:val="0"/>
      <w:marBottom w:val="0"/>
      <w:divBdr>
        <w:top w:val="none" w:sz="0" w:space="0" w:color="auto"/>
        <w:left w:val="none" w:sz="0" w:space="0" w:color="auto"/>
        <w:bottom w:val="none" w:sz="0" w:space="0" w:color="auto"/>
        <w:right w:val="none" w:sz="0" w:space="0" w:color="auto"/>
      </w:divBdr>
    </w:div>
    <w:div w:id="857739311">
      <w:bodyDiv w:val="1"/>
      <w:marLeft w:val="0"/>
      <w:marRight w:val="0"/>
      <w:marTop w:val="0"/>
      <w:marBottom w:val="0"/>
      <w:divBdr>
        <w:top w:val="none" w:sz="0" w:space="0" w:color="auto"/>
        <w:left w:val="none" w:sz="0" w:space="0" w:color="auto"/>
        <w:bottom w:val="none" w:sz="0" w:space="0" w:color="auto"/>
        <w:right w:val="none" w:sz="0" w:space="0" w:color="auto"/>
      </w:divBdr>
    </w:div>
    <w:div w:id="945775721">
      <w:bodyDiv w:val="1"/>
      <w:marLeft w:val="0"/>
      <w:marRight w:val="0"/>
      <w:marTop w:val="0"/>
      <w:marBottom w:val="0"/>
      <w:divBdr>
        <w:top w:val="none" w:sz="0" w:space="0" w:color="auto"/>
        <w:left w:val="none" w:sz="0" w:space="0" w:color="auto"/>
        <w:bottom w:val="none" w:sz="0" w:space="0" w:color="auto"/>
        <w:right w:val="none" w:sz="0" w:space="0" w:color="auto"/>
      </w:divBdr>
    </w:div>
    <w:div w:id="952901572">
      <w:bodyDiv w:val="1"/>
      <w:marLeft w:val="0"/>
      <w:marRight w:val="0"/>
      <w:marTop w:val="0"/>
      <w:marBottom w:val="0"/>
      <w:divBdr>
        <w:top w:val="none" w:sz="0" w:space="0" w:color="auto"/>
        <w:left w:val="none" w:sz="0" w:space="0" w:color="auto"/>
        <w:bottom w:val="none" w:sz="0" w:space="0" w:color="auto"/>
        <w:right w:val="none" w:sz="0" w:space="0" w:color="auto"/>
      </w:divBdr>
    </w:div>
    <w:div w:id="1020276669">
      <w:bodyDiv w:val="1"/>
      <w:marLeft w:val="0"/>
      <w:marRight w:val="0"/>
      <w:marTop w:val="0"/>
      <w:marBottom w:val="0"/>
      <w:divBdr>
        <w:top w:val="none" w:sz="0" w:space="0" w:color="auto"/>
        <w:left w:val="none" w:sz="0" w:space="0" w:color="auto"/>
        <w:bottom w:val="none" w:sz="0" w:space="0" w:color="auto"/>
        <w:right w:val="none" w:sz="0" w:space="0" w:color="auto"/>
      </w:divBdr>
    </w:div>
    <w:div w:id="1064370703">
      <w:bodyDiv w:val="1"/>
      <w:marLeft w:val="0"/>
      <w:marRight w:val="0"/>
      <w:marTop w:val="0"/>
      <w:marBottom w:val="0"/>
      <w:divBdr>
        <w:top w:val="none" w:sz="0" w:space="0" w:color="auto"/>
        <w:left w:val="none" w:sz="0" w:space="0" w:color="auto"/>
        <w:bottom w:val="none" w:sz="0" w:space="0" w:color="auto"/>
        <w:right w:val="none" w:sz="0" w:space="0" w:color="auto"/>
      </w:divBdr>
    </w:div>
    <w:div w:id="1118529679">
      <w:bodyDiv w:val="1"/>
      <w:marLeft w:val="0"/>
      <w:marRight w:val="0"/>
      <w:marTop w:val="0"/>
      <w:marBottom w:val="0"/>
      <w:divBdr>
        <w:top w:val="none" w:sz="0" w:space="0" w:color="auto"/>
        <w:left w:val="none" w:sz="0" w:space="0" w:color="auto"/>
        <w:bottom w:val="none" w:sz="0" w:space="0" w:color="auto"/>
        <w:right w:val="none" w:sz="0" w:space="0" w:color="auto"/>
      </w:divBdr>
    </w:div>
    <w:div w:id="1127508031">
      <w:bodyDiv w:val="1"/>
      <w:marLeft w:val="0"/>
      <w:marRight w:val="0"/>
      <w:marTop w:val="0"/>
      <w:marBottom w:val="0"/>
      <w:divBdr>
        <w:top w:val="none" w:sz="0" w:space="0" w:color="auto"/>
        <w:left w:val="none" w:sz="0" w:space="0" w:color="auto"/>
        <w:bottom w:val="none" w:sz="0" w:space="0" w:color="auto"/>
        <w:right w:val="none" w:sz="0" w:space="0" w:color="auto"/>
      </w:divBdr>
    </w:div>
    <w:div w:id="1131553024">
      <w:bodyDiv w:val="1"/>
      <w:marLeft w:val="0"/>
      <w:marRight w:val="0"/>
      <w:marTop w:val="0"/>
      <w:marBottom w:val="0"/>
      <w:divBdr>
        <w:top w:val="none" w:sz="0" w:space="0" w:color="auto"/>
        <w:left w:val="none" w:sz="0" w:space="0" w:color="auto"/>
        <w:bottom w:val="none" w:sz="0" w:space="0" w:color="auto"/>
        <w:right w:val="none" w:sz="0" w:space="0" w:color="auto"/>
      </w:divBdr>
    </w:div>
    <w:div w:id="1154105354">
      <w:bodyDiv w:val="1"/>
      <w:marLeft w:val="0"/>
      <w:marRight w:val="0"/>
      <w:marTop w:val="0"/>
      <w:marBottom w:val="0"/>
      <w:divBdr>
        <w:top w:val="none" w:sz="0" w:space="0" w:color="auto"/>
        <w:left w:val="none" w:sz="0" w:space="0" w:color="auto"/>
        <w:bottom w:val="none" w:sz="0" w:space="0" w:color="auto"/>
        <w:right w:val="none" w:sz="0" w:space="0" w:color="auto"/>
      </w:divBdr>
    </w:div>
    <w:div w:id="1174495421">
      <w:bodyDiv w:val="1"/>
      <w:marLeft w:val="0"/>
      <w:marRight w:val="0"/>
      <w:marTop w:val="0"/>
      <w:marBottom w:val="0"/>
      <w:divBdr>
        <w:top w:val="none" w:sz="0" w:space="0" w:color="auto"/>
        <w:left w:val="none" w:sz="0" w:space="0" w:color="auto"/>
        <w:bottom w:val="none" w:sz="0" w:space="0" w:color="auto"/>
        <w:right w:val="none" w:sz="0" w:space="0" w:color="auto"/>
      </w:divBdr>
    </w:div>
    <w:div w:id="1191530556">
      <w:bodyDiv w:val="1"/>
      <w:marLeft w:val="0"/>
      <w:marRight w:val="0"/>
      <w:marTop w:val="0"/>
      <w:marBottom w:val="0"/>
      <w:divBdr>
        <w:top w:val="none" w:sz="0" w:space="0" w:color="auto"/>
        <w:left w:val="none" w:sz="0" w:space="0" w:color="auto"/>
        <w:bottom w:val="none" w:sz="0" w:space="0" w:color="auto"/>
        <w:right w:val="none" w:sz="0" w:space="0" w:color="auto"/>
      </w:divBdr>
    </w:div>
    <w:div w:id="1232086034">
      <w:bodyDiv w:val="1"/>
      <w:marLeft w:val="0"/>
      <w:marRight w:val="0"/>
      <w:marTop w:val="0"/>
      <w:marBottom w:val="0"/>
      <w:divBdr>
        <w:top w:val="none" w:sz="0" w:space="0" w:color="auto"/>
        <w:left w:val="none" w:sz="0" w:space="0" w:color="auto"/>
        <w:bottom w:val="none" w:sz="0" w:space="0" w:color="auto"/>
        <w:right w:val="none" w:sz="0" w:space="0" w:color="auto"/>
      </w:divBdr>
    </w:div>
    <w:div w:id="1263034414">
      <w:bodyDiv w:val="1"/>
      <w:marLeft w:val="0"/>
      <w:marRight w:val="0"/>
      <w:marTop w:val="0"/>
      <w:marBottom w:val="0"/>
      <w:divBdr>
        <w:top w:val="none" w:sz="0" w:space="0" w:color="auto"/>
        <w:left w:val="none" w:sz="0" w:space="0" w:color="auto"/>
        <w:bottom w:val="none" w:sz="0" w:space="0" w:color="auto"/>
        <w:right w:val="none" w:sz="0" w:space="0" w:color="auto"/>
      </w:divBdr>
    </w:div>
    <w:div w:id="1270547556">
      <w:bodyDiv w:val="1"/>
      <w:marLeft w:val="0"/>
      <w:marRight w:val="0"/>
      <w:marTop w:val="0"/>
      <w:marBottom w:val="0"/>
      <w:divBdr>
        <w:top w:val="none" w:sz="0" w:space="0" w:color="auto"/>
        <w:left w:val="none" w:sz="0" w:space="0" w:color="auto"/>
        <w:bottom w:val="none" w:sz="0" w:space="0" w:color="auto"/>
        <w:right w:val="none" w:sz="0" w:space="0" w:color="auto"/>
      </w:divBdr>
    </w:div>
    <w:div w:id="1290284960">
      <w:bodyDiv w:val="1"/>
      <w:marLeft w:val="0"/>
      <w:marRight w:val="0"/>
      <w:marTop w:val="0"/>
      <w:marBottom w:val="0"/>
      <w:divBdr>
        <w:top w:val="none" w:sz="0" w:space="0" w:color="auto"/>
        <w:left w:val="none" w:sz="0" w:space="0" w:color="auto"/>
        <w:bottom w:val="none" w:sz="0" w:space="0" w:color="auto"/>
        <w:right w:val="none" w:sz="0" w:space="0" w:color="auto"/>
      </w:divBdr>
    </w:div>
    <w:div w:id="1312756854">
      <w:bodyDiv w:val="1"/>
      <w:marLeft w:val="0"/>
      <w:marRight w:val="0"/>
      <w:marTop w:val="0"/>
      <w:marBottom w:val="0"/>
      <w:divBdr>
        <w:top w:val="none" w:sz="0" w:space="0" w:color="auto"/>
        <w:left w:val="none" w:sz="0" w:space="0" w:color="auto"/>
        <w:bottom w:val="none" w:sz="0" w:space="0" w:color="auto"/>
        <w:right w:val="none" w:sz="0" w:space="0" w:color="auto"/>
      </w:divBdr>
    </w:div>
    <w:div w:id="1329821371">
      <w:bodyDiv w:val="1"/>
      <w:marLeft w:val="0"/>
      <w:marRight w:val="0"/>
      <w:marTop w:val="0"/>
      <w:marBottom w:val="0"/>
      <w:divBdr>
        <w:top w:val="none" w:sz="0" w:space="0" w:color="auto"/>
        <w:left w:val="none" w:sz="0" w:space="0" w:color="auto"/>
        <w:bottom w:val="none" w:sz="0" w:space="0" w:color="auto"/>
        <w:right w:val="none" w:sz="0" w:space="0" w:color="auto"/>
      </w:divBdr>
    </w:div>
    <w:div w:id="1344473984">
      <w:bodyDiv w:val="1"/>
      <w:marLeft w:val="0"/>
      <w:marRight w:val="0"/>
      <w:marTop w:val="0"/>
      <w:marBottom w:val="0"/>
      <w:divBdr>
        <w:top w:val="none" w:sz="0" w:space="0" w:color="auto"/>
        <w:left w:val="none" w:sz="0" w:space="0" w:color="auto"/>
        <w:bottom w:val="none" w:sz="0" w:space="0" w:color="auto"/>
        <w:right w:val="none" w:sz="0" w:space="0" w:color="auto"/>
      </w:divBdr>
    </w:div>
    <w:div w:id="1384477737">
      <w:bodyDiv w:val="1"/>
      <w:marLeft w:val="0"/>
      <w:marRight w:val="0"/>
      <w:marTop w:val="0"/>
      <w:marBottom w:val="0"/>
      <w:divBdr>
        <w:top w:val="none" w:sz="0" w:space="0" w:color="auto"/>
        <w:left w:val="none" w:sz="0" w:space="0" w:color="auto"/>
        <w:bottom w:val="none" w:sz="0" w:space="0" w:color="auto"/>
        <w:right w:val="none" w:sz="0" w:space="0" w:color="auto"/>
      </w:divBdr>
    </w:div>
    <w:div w:id="1412656263">
      <w:bodyDiv w:val="1"/>
      <w:marLeft w:val="0"/>
      <w:marRight w:val="0"/>
      <w:marTop w:val="0"/>
      <w:marBottom w:val="0"/>
      <w:divBdr>
        <w:top w:val="none" w:sz="0" w:space="0" w:color="auto"/>
        <w:left w:val="none" w:sz="0" w:space="0" w:color="auto"/>
        <w:bottom w:val="none" w:sz="0" w:space="0" w:color="auto"/>
        <w:right w:val="none" w:sz="0" w:space="0" w:color="auto"/>
      </w:divBdr>
    </w:div>
    <w:div w:id="1417942551">
      <w:bodyDiv w:val="1"/>
      <w:marLeft w:val="0"/>
      <w:marRight w:val="0"/>
      <w:marTop w:val="0"/>
      <w:marBottom w:val="0"/>
      <w:divBdr>
        <w:top w:val="none" w:sz="0" w:space="0" w:color="auto"/>
        <w:left w:val="none" w:sz="0" w:space="0" w:color="auto"/>
        <w:bottom w:val="none" w:sz="0" w:space="0" w:color="auto"/>
        <w:right w:val="none" w:sz="0" w:space="0" w:color="auto"/>
      </w:divBdr>
    </w:div>
    <w:div w:id="1479223384">
      <w:bodyDiv w:val="1"/>
      <w:marLeft w:val="0"/>
      <w:marRight w:val="0"/>
      <w:marTop w:val="0"/>
      <w:marBottom w:val="0"/>
      <w:divBdr>
        <w:top w:val="none" w:sz="0" w:space="0" w:color="auto"/>
        <w:left w:val="none" w:sz="0" w:space="0" w:color="auto"/>
        <w:bottom w:val="none" w:sz="0" w:space="0" w:color="auto"/>
        <w:right w:val="none" w:sz="0" w:space="0" w:color="auto"/>
      </w:divBdr>
    </w:div>
    <w:div w:id="1502507932">
      <w:bodyDiv w:val="1"/>
      <w:marLeft w:val="0"/>
      <w:marRight w:val="0"/>
      <w:marTop w:val="0"/>
      <w:marBottom w:val="0"/>
      <w:divBdr>
        <w:top w:val="none" w:sz="0" w:space="0" w:color="auto"/>
        <w:left w:val="none" w:sz="0" w:space="0" w:color="auto"/>
        <w:bottom w:val="none" w:sz="0" w:space="0" w:color="auto"/>
        <w:right w:val="none" w:sz="0" w:space="0" w:color="auto"/>
      </w:divBdr>
    </w:div>
    <w:div w:id="1592884416">
      <w:bodyDiv w:val="1"/>
      <w:marLeft w:val="0"/>
      <w:marRight w:val="0"/>
      <w:marTop w:val="0"/>
      <w:marBottom w:val="0"/>
      <w:divBdr>
        <w:top w:val="none" w:sz="0" w:space="0" w:color="auto"/>
        <w:left w:val="none" w:sz="0" w:space="0" w:color="auto"/>
        <w:bottom w:val="none" w:sz="0" w:space="0" w:color="auto"/>
        <w:right w:val="none" w:sz="0" w:space="0" w:color="auto"/>
      </w:divBdr>
    </w:div>
    <w:div w:id="1598292924">
      <w:bodyDiv w:val="1"/>
      <w:marLeft w:val="0"/>
      <w:marRight w:val="0"/>
      <w:marTop w:val="0"/>
      <w:marBottom w:val="0"/>
      <w:divBdr>
        <w:top w:val="none" w:sz="0" w:space="0" w:color="auto"/>
        <w:left w:val="none" w:sz="0" w:space="0" w:color="auto"/>
        <w:bottom w:val="none" w:sz="0" w:space="0" w:color="auto"/>
        <w:right w:val="none" w:sz="0" w:space="0" w:color="auto"/>
      </w:divBdr>
      <w:divsChild>
        <w:div w:id="120878157">
          <w:marLeft w:val="0"/>
          <w:marRight w:val="0"/>
          <w:marTop w:val="0"/>
          <w:marBottom w:val="0"/>
          <w:divBdr>
            <w:top w:val="none" w:sz="0" w:space="0" w:color="auto"/>
            <w:left w:val="none" w:sz="0" w:space="0" w:color="auto"/>
            <w:bottom w:val="none" w:sz="0" w:space="0" w:color="auto"/>
            <w:right w:val="none" w:sz="0" w:space="0" w:color="auto"/>
          </w:divBdr>
          <w:divsChild>
            <w:div w:id="1061296593">
              <w:marLeft w:val="0"/>
              <w:marRight w:val="0"/>
              <w:marTop w:val="0"/>
              <w:marBottom w:val="0"/>
              <w:divBdr>
                <w:top w:val="none" w:sz="0" w:space="0" w:color="auto"/>
                <w:left w:val="none" w:sz="0" w:space="0" w:color="auto"/>
                <w:bottom w:val="none" w:sz="0" w:space="0" w:color="auto"/>
                <w:right w:val="none" w:sz="0" w:space="0" w:color="auto"/>
              </w:divBdr>
              <w:divsChild>
                <w:div w:id="335495805">
                  <w:marLeft w:val="0"/>
                  <w:marRight w:val="0"/>
                  <w:marTop w:val="0"/>
                  <w:marBottom w:val="0"/>
                  <w:divBdr>
                    <w:top w:val="none" w:sz="0" w:space="0" w:color="auto"/>
                    <w:left w:val="none" w:sz="0" w:space="0" w:color="auto"/>
                    <w:bottom w:val="none" w:sz="0" w:space="0" w:color="auto"/>
                    <w:right w:val="none" w:sz="0" w:space="0" w:color="auto"/>
                  </w:divBdr>
                  <w:divsChild>
                    <w:div w:id="496698158">
                      <w:marLeft w:val="0"/>
                      <w:marRight w:val="0"/>
                      <w:marTop w:val="0"/>
                      <w:marBottom w:val="0"/>
                      <w:divBdr>
                        <w:top w:val="none" w:sz="0" w:space="0" w:color="auto"/>
                        <w:left w:val="none" w:sz="0" w:space="0" w:color="auto"/>
                        <w:bottom w:val="none" w:sz="0" w:space="0" w:color="auto"/>
                        <w:right w:val="none" w:sz="0" w:space="0" w:color="auto"/>
                      </w:divBdr>
                      <w:divsChild>
                        <w:div w:id="723716221">
                          <w:marLeft w:val="0"/>
                          <w:marRight w:val="0"/>
                          <w:marTop w:val="0"/>
                          <w:marBottom w:val="0"/>
                          <w:divBdr>
                            <w:top w:val="none" w:sz="0" w:space="0" w:color="auto"/>
                            <w:left w:val="none" w:sz="0" w:space="0" w:color="auto"/>
                            <w:bottom w:val="none" w:sz="0" w:space="0" w:color="auto"/>
                            <w:right w:val="none" w:sz="0" w:space="0" w:color="auto"/>
                          </w:divBdr>
                          <w:divsChild>
                            <w:div w:id="1192841736">
                              <w:marLeft w:val="0"/>
                              <w:marRight w:val="0"/>
                              <w:marTop w:val="0"/>
                              <w:marBottom w:val="0"/>
                              <w:divBdr>
                                <w:top w:val="none" w:sz="0" w:space="0" w:color="auto"/>
                                <w:left w:val="none" w:sz="0" w:space="0" w:color="auto"/>
                                <w:bottom w:val="none" w:sz="0" w:space="0" w:color="auto"/>
                                <w:right w:val="none" w:sz="0" w:space="0" w:color="auto"/>
                              </w:divBdr>
                              <w:divsChild>
                                <w:div w:id="1464693046">
                                  <w:marLeft w:val="0"/>
                                  <w:marRight w:val="0"/>
                                  <w:marTop w:val="0"/>
                                  <w:marBottom w:val="0"/>
                                  <w:divBdr>
                                    <w:top w:val="none" w:sz="0" w:space="0" w:color="auto"/>
                                    <w:left w:val="none" w:sz="0" w:space="0" w:color="auto"/>
                                    <w:bottom w:val="none" w:sz="0" w:space="0" w:color="auto"/>
                                    <w:right w:val="none" w:sz="0" w:space="0" w:color="auto"/>
                                  </w:divBdr>
                                  <w:divsChild>
                                    <w:div w:id="19367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694618">
      <w:bodyDiv w:val="1"/>
      <w:marLeft w:val="0"/>
      <w:marRight w:val="0"/>
      <w:marTop w:val="0"/>
      <w:marBottom w:val="0"/>
      <w:divBdr>
        <w:top w:val="none" w:sz="0" w:space="0" w:color="auto"/>
        <w:left w:val="none" w:sz="0" w:space="0" w:color="auto"/>
        <w:bottom w:val="none" w:sz="0" w:space="0" w:color="auto"/>
        <w:right w:val="none" w:sz="0" w:space="0" w:color="auto"/>
      </w:divBdr>
    </w:div>
    <w:div w:id="1686325270">
      <w:bodyDiv w:val="1"/>
      <w:marLeft w:val="0"/>
      <w:marRight w:val="0"/>
      <w:marTop w:val="0"/>
      <w:marBottom w:val="0"/>
      <w:divBdr>
        <w:top w:val="none" w:sz="0" w:space="0" w:color="auto"/>
        <w:left w:val="none" w:sz="0" w:space="0" w:color="auto"/>
        <w:bottom w:val="none" w:sz="0" w:space="0" w:color="auto"/>
        <w:right w:val="none" w:sz="0" w:space="0" w:color="auto"/>
      </w:divBdr>
    </w:div>
    <w:div w:id="1696273352">
      <w:bodyDiv w:val="1"/>
      <w:marLeft w:val="0"/>
      <w:marRight w:val="0"/>
      <w:marTop w:val="0"/>
      <w:marBottom w:val="0"/>
      <w:divBdr>
        <w:top w:val="none" w:sz="0" w:space="0" w:color="auto"/>
        <w:left w:val="none" w:sz="0" w:space="0" w:color="auto"/>
        <w:bottom w:val="none" w:sz="0" w:space="0" w:color="auto"/>
        <w:right w:val="none" w:sz="0" w:space="0" w:color="auto"/>
      </w:divBdr>
    </w:div>
    <w:div w:id="1698654163">
      <w:bodyDiv w:val="1"/>
      <w:marLeft w:val="0"/>
      <w:marRight w:val="0"/>
      <w:marTop w:val="0"/>
      <w:marBottom w:val="0"/>
      <w:divBdr>
        <w:top w:val="none" w:sz="0" w:space="0" w:color="auto"/>
        <w:left w:val="none" w:sz="0" w:space="0" w:color="auto"/>
        <w:bottom w:val="none" w:sz="0" w:space="0" w:color="auto"/>
        <w:right w:val="none" w:sz="0" w:space="0" w:color="auto"/>
      </w:divBdr>
    </w:div>
    <w:div w:id="1744908329">
      <w:bodyDiv w:val="1"/>
      <w:marLeft w:val="0"/>
      <w:marRight w:val="0"/>
      <w:marTop w:val="0"/>
      <w:marBottom w:val="0"/>
      <w:divBdr>
        <w:top w:val="none" w:sz="0" w:space="0" w:color="auto"/>
        <w:left w:val="none" w:sz="0" w:space="0" w:color="auto"/>
        <w:bottom w:val="none" w:sz="0" w:space="0" w:color="auto"/>
        <w:right w:val="none" w:sz="0" w:space="0" w:color="auto"/>
      </w:divBdr>
    </w:div>
    <w:div w:id="1825194032">
      <w:bodyDiv w:val="1"/>
      <w:marLeft w:val="0"/>
      <w:marRight w:val="0"/>
      <w:marTop w:val="0"/>
      <w:marBottom w:val="0"/>
      <w:divBdr>
        <w:top w:val="none" w:sz="0" w:space="0" w:color="auto"/>
        <w:left w:val="none" w:sz="0" w:space="0" w:color="auto"/>
        <w:bottom w:val="none" w:sz="0" w:space="0" w:color="auto"/>
        <w:right w:val="none" w:sz="0" w:space="0" w:color="auto"/>
      </w:divBdr>
    </w:div>
    <w:div w:id="1829900659">
      <w:bodyDiv w:val="1"/>
      <w:marLeft w:val="0"/>
      <w:marRight w:val="0"/>
      <w:marTop w:val="0"/>
      <w:marBottom w:val="0"/>
      <w:divBdr>
        <w:top w:val="none" w:sz="0" w:space="0" w:color="auto"/>
        <w:left w:val="none" w:sz="0" w:space="0" w:color="auto"/>
        <w:bottom w:val="none" w:sz="0" w:space="0" w:color="auto"/>
        <w:right w:val="none" w:sz="0" w:space="0" w:color="auto"/>
      </w:divBdr>
    </w:div>
    <w:div w:id="1846094554">
      <w:bodyDiv w:val="1"/>
      <w:marLeft w:val="0"/>
      <w:marRight w:val="0"/>
      <w:marTop w:val="0"/>
      <w:marBottom w:val="0"/>
      <w:divBdr>
        <w:top w:val="none" w:sz="0" w:space="0" w:color="auto"/>
        <w:left w:val="none" w:sz="0" w:space="0" w:color="auto"/>
        <w:bottom w:val="none" w:sz="0" w:space="0" w:color="auto"/>
        <w:right w:val="none" w:sz="0" w:space="0" w:color="auto"/>
      </w:divBdr>
    </w:div>
    <w:div w:id="1847091491">
      <w:bodyDiv w:val="1"/>
      <w:marLeft w:val="0"/>
      <w:marRight w:val="0"/>
      <w:marTop w:val="0"/>
      <w:marBottom w:val="0"/>
      <w:divBdr>
        <w:top w:val="none" w:sz="0" w:space="0" w:color="auto"/>
        <w:left w:val="none" w:sz="0" w:space="0" w:color="auto"/>
        <w:bottom w:val="none" w:sz="0" w:space="0" w:color="auto"/>
        <w:right w:val="none" w:sz="0" w:space="0" w:color="auto"/>
      </w:divBdr>
    </w:div>
    <w:div w:id="1859346249">
      <w:bodyDiv w:val="1"/>
      <w:marLeft w:val="0"/>
      <w:marRight w:val="0"/>
      <w:marTop w:val="0"/>
      <w:marBottom w:val="0"/>
      <w:divBdr>
        <w:top w:val="none" w:sz="0" w:space="0" w:color="auto"/>
        <w:left w:val="none" w:sz="0" w:space="0" w:color="auto"/>
        <w:bottom w:val="none" w:sz="0" w:space="0" w:color="auto"/>
        <w:right w:val="none" w:sz="0" w:space="0" w:color="auto"/>
      </w:divBdr>
    </w:div>
    <w:div w:id="1868448201">
      <w:bodyDiv w:val="1"/>
      <w:marLeft w:val="0"/>
      <w:marRight w:val="0"/>
      <w:marTop w:val="0"/>
      <w:marBottom w:val="0"/>
      <w:divBdr>
        <w:top w:val="none" w:sz="0" w:space="0" w:color="auto"/>
        <w:left w:val="none" w:sz="0" w:space="0" w:color="auto"/>
        <w:bottom w:val="none" w:sz="0" w:space="0" w:color="auto"/>
        <w:right w:val="none" w:sz="0" w:space="0" w:color="auto"/>
      </w:divBdr>
    </w:div>
    <w:div w:id="1891265688">
      <w:bodyDiv w:val="1"/>
      <w:marLeft w:val="0"/>
      <w:marRight w:val="0"/>
      <w:marTop w:val="0"/>
      <w:marBottom w:val="0"/>
      <w:divBdr>
        <w:top w:val="none" w:sz="0" w:space="0" w:color="auto"/>
        <w:left w:val="none" w:sz="0" w:space="0" w:color="auto"/>
        <w:bottom w:val="none" w:sz="0" w:space="0" w:color="auto"/>
        <w:right w:val="none" w:sz="0" w:space="0" w:color="auto"/>
      </w:divBdr>
    </w:div>
    <w:div w:id="1929653276">
      <w:bodyDiv w:val="1"/>
      <w:marLeft w:val="0"/>
      <w:marRight w:val="0"/>
      <w:marTop w:val="0"/>
      <w:marBottom w:val="0"/>
      <w:divBdr>
        <w:top w:val="none" w:sz="0" w:space="0" w:color="auto"/>
        <w:left w:val="none" w:sz="0" w:space="0" w:color="auto"/>
        <w:bottom w:val="none" w:sz="0" w:space="0" w:color="auto"/>
        <w:right w:val="none" w:sz="0" w:space="0" w:color="auto"/>
      </w:divBdr>
    </w:div>
    <w:div w:id="1950550186">
      <w:bodyDiv w:val="1"/>
      <w:marLeft w:val="0"/>
      <w:marRight w:val="0"/>
      <w:marTop w:val="0"/>
      <w:marBottom w:val="0"/>
      <w:divBdr>
        <w:top w:val="none" w:sz="0" w:space="0" w:color="auto"/>
        <w:left w:val="none" w:sz="0" w:space="0" w:color="auto"/>
        <w:bottom w:val="none" w:sz="0" w:space="0" w:color="auto"/>
        <w:right w:val="none" w:sz="0" w:space="0" w:color="auto"/>
      </w:divBdr>
    </w:div>
    <w:div w:id="2009554515">
      <w:bodyDiv w:val="1"/>
      <w:marLeft w:val="0"/>
      <w:marRight w:val="0"/>
      <w:marTop w:val="0"/>
      <w:marBottom w:val="0"/>
      <w:divBdr>
        <w:top w:val="none" w:sz="0" w:space="0" w:color="auto"/>
        <w:left w:val="none" w:sz="0" w:space="0" w:color="auto"/>
        <w:bottom w:val="none" w:sz="0" w:space="0" w:color="auto"/>
        <w:right w:val="none" w:sz="0" w:space="0" w:color="auto"/>
      </w:divBdr>
    </w:div>
    <w:div w:id="2015953804">
      <w:bodyDiv w:val="1"/>
      <w:marLeft w:val="0"/>
      <w:marRight w:val="0"/>
      <w:marTop w:val="0"/>
      <w:marBottom w:val="0"/>
      <w:divBdr>
        <w:top w:val="none" w:sz="0" w:space="0" w:color="auto"/>
        <w:left w:val="none" w:sz="0" w:space="0" w:color="auto"/>
        <w:bottom w:val="none" w:sz="0" w:space="0" w:color="auto"/>
        <w:right w:val="none" w:sz="0" w:space="0" w:color="auto"/>
      </w:divBdr>
    </w:div>
    <w:div w:id="2067099392">
      <w:bodyDiv w:val="1"/>
      <w:marLeft w:val="0"/>
      <w:marRight w:val="0"/>
      <w:marTop w:val="0"/>
      <w:marBottom w:val="0"/>
      <w:divBdr>
        <w:top w:val="none" w:sz="0" w:space="0" w:color="auto"/>
        <w:left w:val="none" w:sz="0" w:space="0" w:color="auto"/>
        <w:bottom w:val="none" w:sz="0" w:space="0" w:color="auto"/>
        <w:right w:val="none" w:sz="0" w:space="0" w:color="auto"/>
      </w:divBdr>
    </w:div>
    <w:div w:id="2070379489">
      <w:bodyDiv w:val="1"/>
      <w:marLeft w:val="0"/>
      <w:marRight w:val="0"/>
      <w:marTop w:val="0"/>
      <w:marBottom w:val="0"/>
      <w:divBdr>
        <w:top w:val="none" w:sz="0" w:space="0" w:color="auto"/>
        <w:left w:val="none" w:sz="0" w:space="0" w:color="auto"/>
        <w:bottom w:val="none" w:sz="0" w:space="0" w:color="auto"/>
        <w:right w:val="none" w:sz="0" w:space="0" w:color="auto"/>
      </w:divBdr>
    </w:div>
    <w:div w:id="2126777416">
      <w:bodyDiv w:val="1"/>
      <w:marLeft w:val="0"/>
      <w:marRight w:val="0"/>
      <w:marTop w:val="0"/>
      <w:marBottom w:val="0"/>
      <w:divBdr>
        <w:top w:val="none" w:sz="0" w:space="0" w:color="auto"/>
        <w:left w:val="none" w:sz="0" w:space="0" w:color="auto"/>
        <w:bottom w:val="none" w:sz="0" w:space="0" w:color="auto"/>
        <w:right w:val="none" w:sz="0" w:space="0" w:color="auto"/>
      </w:divBdr>
    </w:div>
    <w:div w:id="2134443301">
      <w:bodyDiv w:val="1"/>
      <w:marLeft w:val="0"/>
      <w:marRight w:val="0"/>
      <w:marTop w:val="0"/>
      <w:marBottom w:val="0"/>
      <w:divBdr>
        <w:top w:val="none" w:sz="0" w:space="0" w:color="auto"/>
        <w:left w:val="none" w:sz="0" w:space="0" w:color="auto"/>
        <w:bottom w:val="none" w:sz="0" w:space="0" w:color="auto"/>
        <w:right w:val="none" w:sz="0" w:space="0" w:color="auto"/>
      </w:divBdr>
    </w:div>
    <w:div w:id="213813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ttm\AppData\Local\Hewlett-Packard\HP%20TRIM\TEMP\HPTRIM.3940\12%203624%2021%20PBO%20Normal.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42174622007627"/>
          <c:y val="4.2660978616865977E-2"/>
          <c:w val="0.82172912872995829"/>
          <c:h val="0.77959956734514813"/>
        </c:manualLayout>
      </c:layout>
      <c:scatterChart>
        <c:scatterStyle val="lineMarker"/>
        <c:varyColors val="0"/>
        <c:ser>
          <c:idx val="0"/>
          <c:order val="0"/>
          <c:tx>
            <c:strRef>
              <c:f>Sheet1!$C$1</c:f>
              <c:strCache>
                <c:ptCount val="1"/>
                <c:pt idx="0">
                  <c:v>Usefulness</c:v>
                </c:pt>
              </c:strCache>
            </c:strRef>
          </c:tx>
          <c:spPr>
            <a:ln w="28575">
              <a:noFill/>
            </a:ln>
          </c:spPr>
          <c:dLbls>
            <c:dLbl>
              <c:idx val="0"/>
              <c:layout>
                <c:manualLayout>
                  <c:x val="-1.2130400854031161E-2"/>
                  <c:y val="4.7244083798514844E-2"/>
                </c:manualLayout>
              </c:layout>
              <c:tx>
                <c:rich>
                  <a:bodyPr/>
                  <a:lstStyle/>
                  <a:p>
                    <a:r>
                      <a:rPr lang="en-US" sz="800"/>
                      <a:t>Report No. 01/2017: </a:t>
                    </a:r>
                    <a:br>
                      <a:rPr lang="en-US" sz="800"/>
                    </a:br>
                    <a:r>
                      <a:rPr lang="en-US" sz="800"/>
                      <a:t>Future fund drawdown scenarios: Budget implications</a:t>
                    </a:r>
                  </a:p>
                </c:rich>
              </c:tx>
              <c:showLegendKey val="0"/>
              <c:showVal val="1"/>
              <c:showCatName val="0"/>
              <c:showSerName val="1"/>
              <c:showPercent val="0"/>
              <c:showBubbleSize val="0"/>
            </c:dLbl>
            <c:dLbl>
              <c:idx val="1"/>
              <c:layout>
                <c:manualLayout>
                  <c:x val="-0.29274095799601957"/>
                  <c:y val="6.7226430621225769E-2"/>
                </c:manualLayout>
              </c:layout>
              <c:tx>
                <c:rich>
                  <a:bodyPr/>
                  <a:lstStyle/>
                  <a:p>
                    <a:pPr>
                      <a:defRPr sz="800"/>
                    </a:pPr>
                    <a:r>
                      <a:rPr lang="en-US" sz="800"/>
                      <a:t>Report No. 02/2017:</a:t>
                    </a:r>
                    <a:br>
                      <a:rPr lang="en-US" sz="800"/>
                    </a:br>
                    <a:r>
                      <a:rPr lang="en-US" sz="800"/>
                      <a:t>2017-18 Budget: medium-term projections</a:t>
                    </a:r>
                  </a:p>
                </c:rich>
              </c:tx>
              <c:spPr/>
              <c:showLegendKey val="0"/>
              <c:showVal val="1"/>
              <c:showCatName val="0"/>
              <c:showSerName val="1"/>
              <c:showPercent val="0"/>
              <c:showBubbleSize val="0"/>
            </c:dLbl>
            <c:dLbl>
              <c:idx val="2"/>
              <c:layout>
                <c:manualLayout>
                  <c:x val="-0.12044501060056946"/>
                  <c:y val="6.7359021775947645E-2"/>
                </c:manualLayout>
              </c:layout>
              <c:tx>
                <c:rich>
                  <a:bodyPr/>
                  <a:lstStyle/>
                  <a:p>
                    <a:pPr>
                      <a:defRPr sz="800"/>
                    </a:pPr>
                    <a:r>
                      <a:rPr lang="en-US" sz="800"/>
                      <a:t>Report No. 03/2017: Changes in average personal income tax rates: distributional impacts</a:t>
                    </a:r>
                  </a:p>
                </c:rich>
              </c:tx>
              <c:spPr/>
              <c:showLegendKey val="0"/>
              <c:showVal val="1"/>
              <c:showCatName val="0"/>
              <c:showSerName val="1"/>
              <c:showPercent val="0"/>
              <c:showBubbleSize val="0"/>
            </c:dLbl>
            <c:dLbl>
              <c:idx val="3"/>
              <c:layout>
                <c:manualLayout>
                  <c:x val="-1.213056004564342E-2"/>
                  <c:y val="4.8850563659479665E-2"/>
                </c:manualLayout>
              </c:layout>
              <c:tx>
                <c:rich>
                  <a:bodyPr/>
                  <a:lstStyle/>
                  <a:p>
                    <a:pPr>
                      <a:defRPr sz="800"/>
                    </a:pPr>
                    <a:r>
                      <a:rPr lang="en-US" sz="800"/>
                      <a:t>Report No. 04/2017: National fiscal outlook: as at 2017-18 budgets</a:t>
                    </a:r>
                  </a:p>
                </c:rich>
              </c:tx>
              <c:spPr/>
              <c:showLegendKey val="0"/>
              <c:showVal val="1"/>
              <c:showCatName val="0"/>
              <c:showSerName val="1"/>
              <c:showPercent val="0"/>
              <c:showBubbleSize val="0"/>
            </c:dLbl>
            <c:dLbl>
              <c:idx val="4"/>
              <c:layout>
                <c:manualLayout>
                  <c:x val="5.9938029889180351E-2"/>
                  <c:y val="6.5288699138225367E-2"/>
                </c:manualLayout>
              </c:layout>
              <c:tx>
                <c:rich>
                  <a:bodyPr/>
                  <a:lstStyle/>
                  <a:p>
                    <a:pPr>
                      <a:defRPr sz="800"/>
                    </a:pPr>
                    <a:r>
                      <a:rPr lang="en-US" sz="800"/>
                      <a:t>Report No. 05/2017:</a:t>
                    </a:r>
                    <a:br>
                      <a:rPr lang="en-US" sz="800"/>
                    </a:br>
                    <a:r>
                      <a:rPr lang="en-US" sz="800"/>
                      <a:t>2017-18 Budget medium-term projections: economic scenario analysis</a:t>
                    </a:r>
                  </a:p>
                </c:rich>
              </c:tx>
              <c:spPr/>
              <c:showLegendKey val="0"/>
              <c:showVal val="1"/>
              <c:showCatName val="0"/>
              <c:showSerName val="1"/>
              <c:showPercent val="0"/>
              <c:showBubbleSize val="0"/>
            </c:dLbl>
            <c:showLegendKey val="0"/>
            <c:showVal val="1"/>
            <c:showCatName val="0"/>
            <c:showSerName val="1"/>
            <c:showPercent val="0"/>
            <c:showBubbleSize val="0"/>
            <c:showLeaderLines val="0"/>
          </c:dLbls>
          <c:xVal>
            <c:numRef>
              <c:f>Sheet1!$B$2:$B$6</c:f>
              <c:numCache>
                <c:formatCode>General</c:formatCode>
                <c:ptCount val="5"/>
                <c:pt idx="0">
                  <c:v>37</c:v>
                </c:pt>
                <c:pt idx="1">
                  <c:v>55</c:v>
                </c:pt>
                <c:pt idx="2">
                  <c:v>59</c:v>
                </c:pt>
                <c:pt idx="3">
                  <c:v>59</c:v>
                </c:pt>
                <c:pt idx="4">
                  <c:v>63</c:v>
                </c:pt>
              </c:numCache>
            </c:numRef>
          </c:xVal>
          <c:yVal>
            <c:numRef>
              <c:f>Sheet1!$C$2:$C$6</c:f>
              <c:numCache>
                <c:formatCode>General</c:formatCode>
                <c:ptCount val="5"/>
                <c:pt idx="0">
                  <c:v>90</c:v>
                </c:pt>
                <c:pt idx="1">
                  <c:v>100</c:v>
                </c:pt>
                <c:pt idx="2">
                  <c:v>100</c:v>
                </c:pt>
                <c:pt idx="3">
                  <c:v>94</c:v>
                </c:pt>
                <c:pt idx="4">
                  <c:v>100</c:v>
                </c:pt>
              </c:numCache>
            </c:numRef>
          </c:yVal>
          <c:smooth val="0"/>
        </c:ser>
        <c:dLbls>
          <c:showLegendKey val="0"/>
          <c:showVal val="1"/>
          <c:showCatName val="0"/>
          <c:showSerName val="0"/>
          <c:showPercent val="0"/>
          <c:showBubbleSize val="0"/>
        </c:dLbls>
        <c:axId val="201710208"/>
        <c:axId val="214516480"/>
      </c:scatterChart>
      <c:valAx>
        <c:axId val="201710208"/>
        <c:scaling>
          <c:orientation val="minMax"/>
          <c:max val="100"/>
          <c:min val="0"/>
        </c:scaling>
        <c:delete val="0"/>
        <c:axPos val="b"/>
        <c:title>
          <c:tx>
            <c:rich>
              <a:bodyPr/>
              <a:lstStyle/>
              <a:p>
                <a:pPr>
                  <a:defRPr/>
                </a:pPr>
                <a:r>
                  <a:rPr lang="en-AU"/>
                  <a:t>% Read</a:t>
                </a:r>
              </a:p>
            </c:rich>
          </c:tx>
          <c:layout/>
          <c:overlay val="0"/>
        </c:title>
        <c:numFmt formatCode="General" sourceLinked="1"/>
        <c:majorTickMark val="none"/>
        <c:minorTickMark val="none"/>
        <c:tickLblPos val="nextTo"/>
        <c:crossAx val="214516480"/>
        <c:crosses val="autoZero"/>
        <c:crossBetween val="midCat"/>
      </c:valAx>
      <c:valAx>
        <c:axId val="214516480"/>
        <c:scaling>
          <c:orientation val="minMax"/>
          <c:max val="100"/>
          <c:min val="80"/>
        </c:scaling>
        <c:delete val="0"/>
        <c:axPos val="l"/>
        <c:title>
          <c:tx>
            <c:rich>
              <a:bodyPr rot="-5400000" vert="horz"/>
              <a:lstStyle/>
              <a:p>
                <a:pPr>
                  <a:defRPr/>
                </a:pPr>
                <a:r>
                  <a:rPr lang="en-AU"/>
                  <a:t>% Usefulness</a:t>
                </a:r>
              </a:p>
            </c:rich>
          </c:tx>
          <c:layout/>
          <c:overlay val="0"/>
        </c:title>
        <c:numFmt formatCode="General" sourceLinked="1"/>
        <c:majorTickMark val="none"/>
        <c:minorTickMark val="none"/>
        <c:tickLblPos val="nextTo"/>
        <c:spPr>
          <a:ln>
            <a:noFill/>
          </a:ln>
        </c:spPr>
        <c:crossAx val="201710208"/>
        <c:crosses val="autoZero"/>
        <c:crossBetween val="midCat"/>
        <c:majorUnit val="5"/>
      </c:valAx>
      <c:spPr>
        <a:solidFill>
          <a:schemeClr val="accent1">
            <a:lumMod val="20000"/>
            <a:lumOff val="80000"/>
          </a:schemeClr>
        </a:solidFill>
      </c:spPr>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EDE45-957D-4F0D-82FF-CBA1B3204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 3624 21 PBO Normal.DOTX</Template>
  <TotalTime>13</TotalTime>
  <Pages>16</Pages>
  <Words>2857</Words>
  <Characters>16286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Report to the Senate Finance and Public Administration Legislation Committee on PBO activity - 17 May 2018</vt:lpstr>
    </vt:vector>
  </TitlesOfParts>
  <Company>Parliament of Australia</Company>
  <LinksUpToDate>false</LinksUpToDate>
  <CharactersWithSpaces>19105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Senate Finance and Public Administration Legislation Committee on PBO activity - 17 May 2018</dc:title>
  <dc:creator>PBO@pbo.gov.au</dc:creator>
  <cp:lastModifiedBy>Pratley, Lauren (PBO)</cp:lastModifiedBy>
  <cp:revision>4</cp:revision>
  <cp:lastPrinted>2018-05-16T22:50:00Z</cp:lastPrinted>
  <dcterms:created xsi:type="dcterms:W3CDTF">2018-05-22T02:06:00Z</dcterms:created>
  <dcterms:modified xsi:type="dcterms:W3CDTF">2018-05-22T02:35:00Z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