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A7" w:rsidRDefault="00A734A7" w:rsidP="005C2F9E">
      <w:pPr>
        <w:pStyle w:val="Title"/>
        <w:spacing w:before="240" w:after="1200"/>
      </w:pPr>
      <w:r>
        <w:rPr>
          <w:noProof/>
        </w:rPr>
        <w:drawing>
          <wp:inline distT="0" distB="0" distL="0" distR="0" wp14:anchorId="2D28152E" wp14:editId="75C14DF0">
            <wp:extent cx="2876550" cy="609600"/>
            <wp:effectExtent l="0" t="0" r="0" b="0"/>
            <wp:docPr id="6" name="Picture 6" descr="Parliamentary Budget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4A7" w:rsidRPr="00A734A7" w:rsidRDefault="00A734A7" w:rsidP="00A734A7">
      <w:pPr>
        <w:pStyle w:val="Title"/>
      </w:pPr>
      <w:r w:rsidRPr="00A734A7">
        <w:t xml:space="preserve">Report to the Senate Finance and </w:t>
      </w:r>
      <w:r w:rsidR="002D3148">
        <w:br/>
      </w:r>
      <w:r w:rsidRPr="00A734A7">
        <w:t>Public Administratio</w:t>
      </w:r>
      <w:r>
        <w:t>n Legislation Committee on PBO a</w:t>
      </w:r>
      <w:r w:rsidRPr="00A734A7">
        <w:t>ctivity</w:t>
      </w:r>
    </w:p>
    <w:p w:rsidR="005C2F9E" w:rsidRDefault="00DC430D" w:rsidP="004C2CCC">
      <w:pPr>
        <w:pStyle w:val="Subtitle"/>
      </w:pPr>
      <w:r>
        <w:t>17 May</w:t>
      </w:r>
      <w:r w:rsidR="00DF23ED">
        <w:t xml:space="preserve"> </w:t>
      </w:r>
      <w:r w:rsidR="00A734A7" w:rsidRPr="00A734A7">
        <w:t>201</w:t>
      </w:r>
      <w:r w:rsidR="00B543DA">
        <w:t>7</w:t>
      </w:r>
      <w:r w:rsidR="005C2F9E">
        <w:br w:type="page"/>
      </w:r>
    </w:p>
    <w:p w:rsidR="007D65A5" w:rsidRPr="00A55569" w:rsidRDefault="00A734A7" w:rsidP="00E60E7C">
      <w:pPr>
        <w:pStyle w:val="PBOheading1"/>
      </w:pPr>
      <w:r>
        <w:lastRenderedPageBreak/>
        <w:t>Overview</w:t>
      </w:r>
    </w:p>
    <w:p w:rsidR="00C11AF3" w:rsidRDefault="003C4528" w:rsidP="00E60E7C">
      <w:pPr>
        <w:pStyle w:val="PBOtext"/>
      </w:pPr>
      <w:r>
        <w:t>T</w:t>
      </w:r>
      <w:r w:rsidR="002A569E">
        <w:t>his</w:t>
      </w:r>
      <w:r w:rsidR="00986D03">
        <w:t xml:space="preserve"> activity</w:t>
      </w:r>
      <w:r w:rsidR="00C11AF3">
        <w:t xml:space="preserve"> report provides an update </w:t>
      </w:r>
      <w:r w:rsidR="00986D03">
        <w:t>on PBO activities</w:t>
      </w:r>
      <w:r w:rsidR="0056649D">
        <w:t xml:space="preserve"> since </w:t>
      </w:r>
      <w:r w:rsidR="00E43091">
        <w:t xml:space="preserve">the </w:t>
      </w:r>
      <w:r>
        <w:t>last report to the Committee (</w:t>
      </w:r>
      <w:r w:rsidR="00DC430D">
        <w:t>22 February 2017</w:t>
      </w:r>
      <w:r>
        <w:t>)</w:t>
      </w:r>
      <w:r w:rsidR="006A49DE">
        <w:t>.</w:t>
      </w:r>
    </w:p>
    <w:p w:rsidR="003C4528" w:rsidRDefault="009031F8" w:rsidP="003C4528">
      <w:pPr>
        <w:pStyle w:val="PBOheading2"/>
      </w:pPr>
      <w:r>
        <w:t>Independent review of the PBO</w:t>
      </w:r>
    </w:p>
    <w:p w:rsidR="00A103B6" w:rsidRDefault="00775ACE" w:rsidP="000464ED">
      <w:pPr>
        <w:rPr>
          <w:lang w:eastAsia="en-AU"/>
        </w:rPr>
      </w:pPr>
      <w:r>
        <w:rPr>
          <w:lang w:eastAsia="en-AU"/>
        </w:rPr>
        <w:t xml:space="preserve">The independent review into the operations of the PBO commissioned by the </w:t>
      </w:r>
      <w:r w:rsidR="00CD42B9">
        <w:rPr>
          <w:lang w:eastAsia="en-AU"/>
        </w:rPr>
        <w:t xml:space="preserve">Joint Committee of Public Accounts and Audit (JCPAA) </w:t>
      </w:r>
      <w:r>
        <w:rPr>
          <w:lang w:eastAsia="en-AU"/>
        </w:rPr>
        <w:t xml:space="preserve">under Section 64T of the </w:t>
      </w:r>
      <w:r w:rsidRPr="000464ED">
        <w:rPr>
          <w:i/>
          <w:lang w:eastAsia="en-AU"/>
        </w:rPr>
        <w:t>Parliamentary Service Act 1999</w:t>
      </w:r>
      <w:r>
        <w:rPr>
          <w:lang w:eastAsia="en-AU"/>
        </w:rPr>
        <w:t xml:space="preserve"> was tabled in Parliament on 29 March 2017.</w:t>
      </w:r>
    </w:p>
    <w:p w:rsidR="000464ED" w:rsidRPr="000464ED" w:rsidRDefault="00A103B6" w:rsidP="000464ED">
      <w:pPr>
        <w:rPr>
          <w:lang w:eastAsia="en-AU"/>
        </w:rPr>
      </w:pPr>
      <w:r>
        <w:rPr>
          <w:lang w:eastAsia="en-AU"/>
        </w:rPr>
        <w:t xml:space="preserve">The report of the </w:t>
      </w:r>
      <w:r w:rsidR="00863749">
        <w:rPr>
          <w:lang w:eastAsia="en-AU"/>
        </w:rPr>
        <w:t xml:space="preserve">independent </w:t>
      </w:r>
      <w:r>
        <w:rPr>
          <w:lang w:eastAsia="en-AU"/>
        </w:rPr>
        <w:t xml:space="preserve">review panel </w:t>
      </w:r>
      <w:r w:rsidR="00775ACE">
        <w:rPr>
          <w:lang w:eastAsia="en-AU"/>
        </w:rPr>
        <w:t xml:space="preserve">described the PBO as ‘a successful institutional development in Australian governance’, which has ‘filled a significant gap in Australia’s public policy landscape’.  </w:t>
      </w:r>
      <w:r>
        <w:rPr>
          <w:lang w:eastAsia="en-AU"/>
        </w:rPr>
        <w:t xml:space="preserve"> The report made a number of recommendations to help improve the PBO’s operations in the future.</w:t>
      </w:r>
      <w:r w:rsidR="00967214">
        <w:rPr>
          <w:lang w:eastAsia="en-AU"/>
        </w:rPr>
        <w:t xml:space="preserve">  The PBO will consult with the JCPAA on </w:t>
      </w:r>
      <w:r w:rsidR="00775ACE">
        <w:rPr>
          <w:lang w:eastAsia="en-AU"/>
        </w:rPr>
        <w:t xml:space="preserve">its response to </w:t>
      </w:r>
      <w:r w:rsidR="00967214">
        <w:rPr>
          <w:lang w:eastAsia="en-AU"/>
        </w:rPr>
        <w:t>these recommendations</w:t>
      </w:r>
      <w:r w:rsidR="00775ACE">
        <w:rPr>
          <w:lang w:eastAsia="en-AU"/>
        </w:rPr>
        <w:t xml:space="preserve"> in the context of the development of its work plan for </w:t>
      </w:r>
      <w:r w:rsidR="00FD580D">
        <w:t>2017–18</w:t>
      </w:r>
      <w:r w:rsidR="00775ACE">
        <w:rPr>
          <w:lang w:eastAsia="en-AU"/>
        </w:rPr>
        <w:t>.</w:t>
      </w:r>
    </w:p>
    <w:p w:rsidR="007D65A5" w:rsidRDefault="007D65A5" w:rsidP="00E60E7C">
      <w:pPr>
        <w:pStyle w:val="PBOheading2"/>
      </w:pPr>
      <w:r w:rsidRPr="00A55569">
        <w:t xml:space="preserve">Requests from </w:t>
      </w:r>
      <w:r w:rsidR="00B23802">
        <w:t>p</w:t>
      </w:r>
      <w:r w:rsidRPr="00A55569">
        <w:t>arliamentarians</w:t>
      </w:r>
      <w:r w:rsidR="00B23802">
        <w:t xml:space="preserve"> and parliamentary parties</w:t>
      </w:r>
    </w:p>
    <w:p w:rsidR="0012673C" w:rsidRDefault="00467845" w:rsidP="00E60E7C">
      <w:pPr>
        <w:pStyle w:val="PBOtext"/>
      </w:pPr>
      <w:r>
        <w:t xml:space="preserve">In the </w:t>
      </w:r>
      <w:r w:rsidR="002E15C4">
        <w:t>nine months</w:t>
      </w:r>
      <w:r w:rsidR="00DD2B51">
        <w:t xml:space="preserve"> </w:t>
      </w:r>
      <w:r w:rsidR="00FD580D">
        <w:t>to 31 March 2017</w:t>
      </w:r>
      <w:r>
        <w:t xml:space="preserve">, the PBO responded to </w:t>
      </w:r>
      <w:r w:rsidR="002E15C4">
        <w:t>1</w:t>
      </w:r>
      <w:r w:rsidR="00967214">
        <w:t>,</w:t>
      </w:r>
      <w:r w:rsidR="002E15C4">
        <w:t xml:space="preserve">348 </w:t>
      </w:r>
      <w:r>
        <w:t>requests</w:t>
      </w:r>
      <w:r w:rsidR="0048170C">
        <w:t xml:space="preserve"> </w:t>
      </w:r>
      <w:r>
        <w:t xml:space="preserve">from parliamentarians at an average turnaround time of </w:t>
      </w:r>
      <w:r w:rsidR="002E15C4">
        <w:t>19.3</w:t>
      </w:r>
      <w:r w:rsidR="00527D41">
        <w:t xml:space="preserve"> </w:t>
      </w:r>
      <w:r>
        <w:t xml:space="preserve">business days and a median time to completion of </w:t>
      </w:r>
      <w:r w:rsidR="002E15C4">
        <w:t xml:space="preserve">nine </w:t>
      </w:r>
      <w:r>
        <w:t>business days (refer to Table</w:t>
      </w:r>
      <w:r w:rsidR="00B55D14">
        <w:t> </w:t>
      </w:r>
      <w:r>
        <w:t>1).</w:t>
      </w:r>
      <w:r w:rsidR="002A569E">
        <w:t xml:space="preserve">  </w:t>
      </w:r>
      <w:r w:rsidR="00A5637D">
        <w:t>Early in this period there were a</w:t>
      </w:r>
      <w:r w:rsidR="00513538">
        <w:t xml:space="preserve"> large number of</w:t>
      </w:r>
      <w:r w:rsidR="0012673C">
        <w:t xml:space="preserve"> requests related to costings prepared for the post-election report of election commitments</w:t>
      </w:r>
      <w:r w:rsidR="00A5637D">
        <w:t>.  D</w:t>
      </w:r>
      <w:r w:rsidR="00513538">
        <w:t>emand for costings quickly resumed with the resumption of Parliament following the election</w:t>
      </w:r>
      <w:r w:rsidR="00A5637D">
        <w:t xml:space="preserve"> with a further surge in requests following the Mid-year Economic and Fiscal Outlook </w:t>
      </w:r>
      <w:r w:rsidR="00FD580D">
        <w:t xml:space="preserve">(MYEFO) </w:t>
      </w:r>
      <w:r w:rsidR="00A5637D">
        <w:t>in December</w:t>
      </w:r>
      <w:r w:rsidR="0012673C">
        <w:t>.</w:t>
      </w:r>
    </w:p>
    <w:p w:rsidR="007D65A5" w:rsidRDefault="00152D5E" w:rsidP="00E60E7C">
      <w:pPr>
        <w:pStyle w:val="PBOtext"/>
      </w:pPr>
      <w:r w:rsidRPr="006B6E81">
        <w:t xml:space="preserve">In the </w:t>
      </w:r>
      <w:r w:rsidR="00986D03">
        <w:t>same period</w:t>
      </w:r>
      <w:r w:rsidRPr="006B6E81">
        <w:t xml:space="preserve">, the PBO received </w:t>
      </w:r>
      <w:r w:rsidR="00A5637D">
        <w:t>288</w:t>
      </w:r>
      <w:r w:rsidR="00A5637D" w:rsidRPr="006B6E81">
        <w:t xml:space="preserve"> </w:t>
      </w:r>
      <w:r w:rsidR="007E6158" w:rsidRPr="006B6E81">
        <w:t xml:space="preserve">responses </w:t>
      </w:r>
      <w:r w:rsidR="009818CB">
        <w:t xml:space="preserve">from Commonwealth agencies </w:t>
      </w:r>
      <w:r w:rsidR="007E6158" w:rsidRPr="006B6E81">
        <w:t xml:space="preserve">to information requests at an average turnaround time of </w:t>
      </w:r>
      <w:r w:rsidR="00A5637D">
        <w:t>7.7</w:t>
      </w:r>
      <w:r w:rsidR="00DA19EE" w:rsidRPr="006B6E81">
        <w:t xml:space="preserve"> </w:t>
      </w:r>
      <w:r w:rsidR="007E6158" w:rsidRPr="006B6E81">
        <w:t xml:space="preserve">business days </w:t>
      </w:r>
      <w:r w:rsidR="009818CB">
        <w:t xml:space="preserve">and with an average punctuality of </w:t>
      </w:r>
      <w:r w:rsidR="00A5637D">
        <w:t>2.2</w:t>
      </w:r>
      <w:r w:rsidR="002A569E">
        <w:t> </w:t>
      </w:r>
      <w:r w:rsidR="009818CB">
        <w:t>business day</w:t>
      </w:r>
      <w:r w:rsidR="00A60511">
        <w:t>s</w:t>
      </w:r>
      <w:r w:rsidR="009818CB">
        <w:t xml:space="preserve"> early </w:t>
      </w:r>
      <w:r w:rsidR="007E6158" w:rsidRPr="006B6E81">
        <w:t>(refer to Table 2).</w:t>
      </w:r>
      <w:r w:rsidR="00F45847">
        <w:t xml:space="preserve">  Table 3 contains details of </w:t>
      </w:r>
      <w:r w:rsidR="0013683A">
        <w:t>the</w:t>
      </w:r>
      <w:r w:rsidR="00F45847">
        <w:t xml:space="preserve"> responsiveness </w:t>
      </w:r>
      <w:r w:rsidR="0013683A">
        <w:t xml:space="preserve">of </w:t>
      </w:r>
      <w:r w:rsidR="00F45847">
        <w:t xml:space="preserve">Commonwealth agencies </w:t>
      </w:r>
      <w:r w:rsidR="0013683A">
        <w:t>to information requests during</w:t>
      </w:r>
      <w:r w:rsidR="00F45847">
        <w:t xml:space="preserve"> </w:t>
      </w:r>
      <w:r w:rsidR="00967214">
        <w:t>this period</w:t>
      </w:r>
      <w:r w:rsidR="00F45847">
        <w:t>.</w:t>
      </w:r>
    </w:p>
    <w:p w:rsidR="007D65A5" w:rsidRDefault="007D65A5" w:rsidP="00E60E7C">
      <w:pPr>
        <w:pStyle w:val="PBOheading2"/>
      </w:pPr>
      <w:r w:rsidRPr="0048170C">
        <w:t xml:space="preserve">Self-initiated </w:t>
      </w:r>
      <w:r w:rsidR="00986D03" w:rsidRPr="0048170C">
        <w:t xml:space="preserve">research </w:t>
      </w:r>
      <w:r w:rsidRPr="0048170C">
        <w:t>program</w:t>
      </w:r>
    </w:p>
    <w:p w:rsidR="00C70094" w:rsidRDefault="00967214">
      <w:pPr>
        <w:pStyle w:val="PBOtext"/>
      </w:pPr>
      <w:r>
        <w:t>With the release of the 2017–18 Budget, a</w:t>
      </w:r>
      <w:r w:rsidR="00A819E5">
        <w:t xml:space="preserve"> repo</w:t>
      </w:r>
      <w:r w:rsidR="006B2FB8">
        <w:t>rt on the 2017–</w:t>
      </w:r>
      <w:r w:rsidR="00A819E5">
        <w:t xml:space="preserve">18 Budget medium-term projections </w:t>
      </w:r>
      <w:r w:rsidR="006B2FB8">
        <w:t>and the 2017–</w:t>
      </w:r>
      <w:r w:rsidR="00A819E5">
        <w:t xml:space="preserve">18 Budget chart pack will be published </w:t>
      </w:r>
      <w:r>
        <w:t>in the current quarter.</w:t>
      </w:r>
    </w:p>
    <w:p w:rsidR="00FD580D" w:rsidRDefault="00FD580D" w:rsidP="00D74C10">
      <w:pPr>
        <w:pStyle w:val="PBOheading2"/>
      </w:pPr>
      <w:r>
        <w:t>International engagement</w:t>
      </w:r>
    </w:p>
    <w:p w:rsidR="00FD580D" w:rsidRDefault="00FD580D" w:rsidP="00D74C10">
      <w:r>
        <w:rPr>
          <w:lang w:eastAsia="en-AU"/>
        </w:rPr>
        <w:t>In April 2017</w:t>
      </w:r>
      <w:r w:rsidR="002E3D70">
        <w:rPr>
          <w:lang w:eastAsia="en-AU"/>
        </w:rPr>
        <w:t>,</w:t>
      </w:r>
      <w:r>
        <w:rPr>
          <w:lang w:eastAsia="en-AU"/>
        </w:rPr>
        <w:t xml:space="preserve"> the Parliamentary Budget Officer participated in the 9</w:t>
      </w:r>
      <w:r w:rsidRPr="00D74C10">
        <w:rPr>
          <w:vertAlign w:val="superscript"/>
          <w:lang w:eastAsia="en-AU"/>
        </w:rPr>
        <w:t>th</w:t>
      </w:r>
      <w:r>
        <w:rPr>
          <w:lang w:eastAsia="en-AU"/>
        </w:rPr>
        <w:t xml:space="preserve"> Annual Meeting of the OECD Network of Parliamentary Budget Officials and Independent Fiscal Institutions </w:t>
      </w:r>
      <w:r w:rsidR="00B87642">
        <w:rPr>
          <w:lang w:eastAsia="en-AU"/>
        </w:rPr>
        <w:t xml:space="preserve">hosted by the Scottish Parliament in Edinburgh.  He </w:t>
      </w:r>
      <w:r>
        <w:rPr>
          <w:lang w:eastAsia="en-AU"/>
        </w:rPr>
        <w:t>gave a presentation on the recent independent review into the PBO’s operations.</w:t>
      </w:r>
    </w:p>
    <w:p w:rsidR="00FD580D" w:rsidRPr="00D74C10" w:rsidRDefault="001345AD" w:rsidP="00D74C10">
      <w:r w:rsidRPr="009D4447">
        <w:rPr>
          <w:lang w:eastAsia="en-AU"/>
        </w:rPr>
        <w:t xml:space="preserve">In May </w:t>
      </w:r>
      <w:r w:rsidR="00D74C10" w:rsidRPr="009D4447">
        <w:rPr>
          <w:lang w:eastAsia="en-AU"/>
        </w:rPr>
        <w:t xml:space="preserve">2017, </w:t>
      </w:r>
      <w:r w:rsidRPr="009D4447">
        <w:rPr>
          <w:lang w:eastAsia="en-AU"/>
        </w:rPr>
        <w:t xml:space="preserve">the First Assistant Parliamentary Budget Officer, Fiscal Policy Analysis Division </w:t>
      </w:r>
      <w:r w:rsidR="00D74C10" w:rsidRPr="009D4447">
        <w:rPr>
          <w:lang w:eastAsia="en-AU"/>
        </w:rPr>
        <w:t>presented at the 2017 Seoul International Forum on Elections hosted by National Election Commission of the Republic of Korea.</w:t>
      </w:r>
      <w:r w:rsidR="00B36E44" w:rsidRPr="009D4447">
        <w:rPr>
          <w:lang w:eastAsia="en-AU"/>
        </w:rPr>
        <w:t xml:space="preserve"> </w:t>
      </w:r>
      <w:r w:rsidR="00C72EF2" w:rsidRPr="009D4447">
        <w:rPr>
          <w:lang w:eastAsia="en-AU"/>
        </w:rPr>
        <w:t xml:space="preserve"> </w:t>
      </w:r>
      <w:r w:rsidR="00B36E44" w:rsidRPr="009D4447">
        <w:rPr>
          <w:lang w:eastAsia="en-AU"/>
        </w:rPr>
        <w:t xml:space="preserve">He gave a presentation on </w:t>
      </w:r>
      <w:r w:rsidR="00C72EF2" w:rsidRPr="009D4447">
        <w:rPr>
          <w:lang w:eastAsia="en-AU"/>
        </w:rPr>
        <w:t>the preparation of policy costings by the PBO and the post-election report of election commitments.</w:t>
      </w:r>
    </w:p>
    <w:p w:rsidR="007D65A5" w:rsidRPr="00A55569" w:rsidRDefault="007D65A5" w:rsidP="00E60E7C">
      <w:pPr>
        <w:pStyle w:val="PBOheading2"/>
        <w:spacing w:after="120"/>
      </w:pPr>
      <w:r w:rsidRPr="00A55569">
        <w:lastRenderedPageBreak/>
        <w:t xml:space="preserve">PBO </w:t>
      </w:r>
      <w:r w:rsidR="00742FB7">
        <w:t>s</w:t>
      </w:r>
      <w:r w:rsidRPr="00A55569">
        <w:t>taffing</w:t>
      </w:r>
    </w:p>
    <w:p w:rsidR="00392BA4" w:rsidRDefault="007D65A5" w:rsidP="00E60E7C">
      <w:pPr>
        <w:pStyle w:val="PBOtext"/>
      </w:pPr>
      <w:r>
        <w:t xml:space="preserve">The PBO </w:t>
      </w:r>
      <w:r w:rsidR="0013683A">
        <w:t xml:space="preserve">has a staffing establishment of </w:t>
      </w:r>
      <w:r w:rsidR="00E401D9">
        <w:t xml:space="preserve">approximately 40 </w:t>
      </w:r>
      <w:r>
        <w:t xml:space="preserve">positions and </w:t>
      </w:r>
      <w:r w:rsidR="0013683A">
        <w:t xml:space="preserve">receives additional funding every third year in the lead up to a general election to boost its staffing.  </w:t>
      </w:r>
      <w:r w:rsidR="00EE54F2">
        <w:t>At 3</w:t>
      </w:r>
      <w:r w:rsidR="00E60E7C">
        <w:t>1</w:t>
      </w:r>
      <w:r w:rsidR="00DC430D">
        <w:t xml:space="preserve"> March 2017</w:t>
      </w:r>
      <w:r w:rsidR="00EE54F2">
        <w:t xml:space="preserve">, the PBO had </w:t>
      </w:r>
      <w:r w:rsidR="00DE2FBE">
        <w:t xml:space="preserve">46 </w:t>
      </w:r>
      <w:r w:rsidR="00EE54F2">
        <w:t>staff (refer to Table 4)</w:t>
      </w:r>
      <w:r w:rsidR="005427A7">
        <w:t xml:space="preserve">, </w:t>
      </w:r>
      <w:r w:rsidR="00B56F23">
        <w:t xml:space="preserve">reflecting the higher staffing level associated with the </w:t>
      </w:r>
      <w:r w:rsidR="005427A7">
        <w:t>general election</w:t>
      </w:r>
      <w:r w:rsidR="00B56F23">
        <w:t xml:space="preserve"> and the continuing demand for policy costing services</w:t>
      </w:r>
      <w:r w:rsidR="005427A7">
        <w:t>.</w:t>
      </w:r>
      <w:r w:rsidR="005B325D">
        <w:t xml:space="preserve">  In addition, the PBO currently has </w:t>
      </w:r>
      <w:r w:rsidR="00967214">
        <w:t xml:space="preserve">two </w:t>
      </w:r>
      <w:r w:rsidR="005B325D">
        <w:t>secondee</w:t>
      </w:r>
      <w:r w:rsidR="00967214">
        <w:t>s</w:t>
      </w:r>
      <w:r w:rsidR="005B325D">
        <w:t xml:space="preserve"> under the 201</w:t>
      </w:r>
      <w:r w:rsidR="002A56BE">
        <w:t>7</w:t>
      </w:r>
      <w:r w:rsidR="005B325D">
        <w:t xml:space="preserve"> Parliament of Australia graduate program.</w:t>
      </w:r>
    </w:p>
    <w:p w:rsidR="00440916" w:rsidRPr="00626105" w:rsidRDefault="00440916" w:rsidP="00E60E7C">
      <w:pPr>
        <w:pStyle w:val="PBOtext"/>
      </w:pPr>
      <w:r w:rsidRPr="00626105">
        <w:br w:type="page"/>
      </w:r>
      <w:bookmarkStart w:id="0" w:name="_GoBack"/>
      <w:bookmarkEnd w:id="0"/>
    </w:p>
    <w:p w:rsidR="00EE10A1" w:rsidRPr="008C72D3" w:rsidRDefault="005D002A" w:rsidP="00E60E7C">
      <w:pPr>
        <w:pStyle w:val="PBOheading1"/>
      </w:pPr>
      <w:r>
        <w:lastRenderedPageBreak/>
        <w:t>Requests from p</w:t>
      </w:r>
      <w:r w:rsidR="00EE10A1" w:rsidRPr="008C72D3">
        <w:t xml:space="preserve">arliamentarians </w:t>
      </w:r>
      <w:r w:rsidR="001244FE">
        <w:t xml:space="preserve">and parliamentary parties </w:t>
      </w:r>
      <w:r w:rsidR="00EE10A1" w:rsidRPr="008C72D3">
        <w:t>for costings</w:t>
      </w:r>
      <w:r w:rsidR="001244FE">
        <w:t xml:space="preserve"> and budget</w:t>
      </w:r>
      <w:r w:rsidR="00EE10A1" w:rsidRPr="008C72D3">
        <w:t xml:space="preserve"> analyses</w:t>
      </w:r>
    </w:p>
    <w:p w:rsidR="006008B9" w:rsidRPr="00BF637E" w:rsidRDefault="00150BBB" w:rsidP="00E60E7C">
      <w:pPr>
        <w:pStyle w:val="Caption"/>
        <w:keepLines w:val="0"/>
        <w:spacing w:before="340" w:after="114" w:line="250" w:lineRule="atLeast"/>
        <w:jc w:val="left"/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</w:pPr>
      <w:r w:rsidRPr="00D543A7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Table 1</w:t>
      </w:r>
      <w:r w:rsidR="00A55569" w:rsidRPr="00D543A7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:</w:t>
      </w:r>
      <w:r w:rsidRPr="00D543A7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 </w:t>
      </w:r>
      <w:r w:rsidR="007E6158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Costing and budget analysis requests from parliamentarians and parliamentary parties to </w:t>
      </w:r>
      <w:r w:rsidR="0056304F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br/>
        <w:t>3</w:t>
      </w:r>
      <w:r w:rsidR="00AA5AD6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1</w:t>
      </w:r>
      <w:r w:rsidR="0045600F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 </w:t>
      </w:r>
      <w:r w:rsidR="00DC430D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March 2017</w:t>
      </w:r>
    </w:p>
    <w:tbl>
      <w:tblPr>
        <w:tblStyle w:val="TableGrid11"/>
        <w:tblpPr w:leftFromText="180" w:rightFromText="180" w:bottomFromText="155" w:vertAnchor="text"/>
        <w:tblW w:w="5000" w:type="pct"/>
        <w:tblLayout w:type="fixed"/>
        <w:tblLook w:val="04A0" w:firstRow="1" w:lastRow="0" w:firstColumn="1" w:lastColumn="0" w:noHBand="0" w:noVBand="1"/>
      </w:tblPr>
      <w:tblGrid>
        <w:gridCol w:w="2272"/>
        <w:gridCol w:w="846"/>
        <w:gridCol w:w="847"/>
        <w:gridCol w:w="847"/>
        <w:gridCol w:w="847"/>
        <w:gridCol w:w="845"/>
        <w:gridCol w:w="845"/>
        <w:gridCol w:w="839"/>
        <w:gridCol w:w="838"/>
      </w:tblGrid>
      <w:tr w:rsidR="000444E8" w:rsidRPr="00764FC5" w:rsidTr="006E2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9" w:type="pct"/>
            <w:noWrap/>
          </w:tcPr>
          <w:p w:rsidR="000444E8" w:rsidRPr="00764FC5" w:rsidRDefault="000444E8" w:rsidP="00B56F23">
            <w:pPr>
              <w:keepNext/>
              <w:keepLines/>
              <w:spacing w:before="0" w:after="200" w:line="240" w:lineRule="auto"/>
              <w:ind w:left="0" w:right="0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</w:tcPr>
          <w:p w:rsidR="000444E8" w:rsidRPr="001244FE" w:rsidRDefault="000444E8" w:rsidP="00E60E7C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244FE">
              <w:rPr>
                <w:rFonts w:asciiTheme="minorHAnsi" w:hAnsiTheme="minorHAnsi"/>
                <w:b/>
                <w:sz w:val="18"/>
                <w:szCs w:val="18"/>
              </w:rPr>
              <w:t>2012–13</w:t>
            </w:r>
          </w:p>
          <w:p w:rsidR="000444E8" w:rsidRPr="00764FC5" w:rsidRDefault="000444E8" w:rsidP="00E60E7C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r w:rsidRPr="001244FE">
              <w:rPr>
                <w:rFonts w:asciiTheme="minorHAnsi" w:hAnsi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469" w:type="pct"/>
          </w:tcPr>
          <w:p w:rsidR="000444E8" w:rsidRPr="001244FE" w:rsidRDefault="000444E8" w:rsidP="00E60E7C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244FE">
              <w:rPr>
                <w:rFonts w:asciiTheme="minorHAnsi" w:hAnsiTheme="minorHAnsi"/>
                <w:b/>
                <w:sz w:val="18"/>
                <w:szCs w:val="18"/>
              </w:rPr>
              <w:t>2013–14</w:t>
            </w:r>
          </w:p>
          <w:p w:rsidR="000444E8" w:rsidRPr="00764FC5" w:rsidRDefault="000444E8" w:rsidP="00E60E7C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r w:rsidRPr="001244FE">
              <w:rPr>
                <w:rFonts w:asciiTheme="minorHAnsi" w:hAnsiTheme="minorHAnsi"/>
                <w:b/>
                <w:sz w:val="18"/>
                <w:szCs w:val="18"/>
              </w:rPr>
              <w:t>Total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9" w:type="pct"/>
          </w:tcPr>
          <w:p w:rsidR="000444E8" w:rsidRPr="00D77CDE" w:rsidRDefault="000444E8" w:rsidP="00E60E7C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D77CDE">
              <w:rPr>
                <w:rFonts w:asciiTheme="minorHAnsi" w:hAnsiTheme="minorHAnsi"/>
                <w:b/>
                <w:sz w:val="18"/>
                <w:szCs w:val="18"/>
              </w:rPr>
              <w:t>2014–15</w:t>
            </w:r>
          </w:p>
          <w:p w:rsidR="000444E8" w:rsidRPr="001244FE" w:rsidRDefault="000444E8" w:rsidP="00E60E7C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D77CDE">
              <w:rPr>
                <w:rFonts w:asciiTheme="minorHAnsi" w:hAnsi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469" w:type="pct"/>
          </w:tcPr>
          <w:p w:rsidR="000444E8" w:rsidRPr="001244FE" w:rsidRDefault="000444E8" w:rsidP="00E60E7C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244FE">
              <w:rPr>
                <w:rFonts w:asciiTheme="minorHAnsi" w:hAnsiTheme="minorHAnsi"/>
                <w:b/>
                <w:sz w:val="18"/>
                <w:szCs w:val="18"/>
              </w:rPr>
              <w:t>201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Pr="001244FE">
              <w:rPr>
                <w:rFonts w:asciiTheme="minorHAnsi" w:hAnsiTheme="minorHAnsi"/>
                <w:b/>
                <w:sz w:val="18"/>
                <w:szCs w:val="18"/>
              </w:rPr>
              <w:t>–1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0444E8" w:rsidRPr="001E1EE2" w:rsidRDefault="000444E8" w:rsidP="00E60E7C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468" w:type="pct"/>
          </w:tcPr>
          <w:p w:rsidR="000444E8" w:rsidRDefault="000444E8" w:rsidP="00E60E7C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E1EE2">
              <w:rPr>
                <w:rFonts w:asciiTheme="minorHAnsi" w:hAnsiTheme="minorHAnsi"/>
                <w:sz w:val="18"/>
                <w:szCs w:val="18"/>
              </w:rPr>
              <w:t>201</w:t>
            </w:r>
            <w:r>
              <w:rPr>
                <w:rFonts w:asciiTheme="minorHAnsi" w:hAnsiTheme="minorHAnsi"/>
                <w:sz w:val="18"/>
                <w:szCs w:val="18"/>
              </w:rPr>
              <w:t>6–</w:t>
            </w:r>
            <w:r w:rsidRPr="001E1EE2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0444E8" w:rsidRPr="001244FE" w:rsidRDefault="000444E8" w:rsidP="00E60E7C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Q1</w:t>
            </w:r>
          </w:p>
        </w:tc>
        <w:tc>
          <w:tcPr>
            <w:tcW w:w="468" w:type="pct"/>
          </w:tcPr>
          <w:p w:rsidR="000444E8" w:rsidRDefault="000444E8" w:rsidP="00096F8F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2016–17</w:t>
            </w:r>
          </w:p>
          <w:p w:rsidR="000444E8" w:rsidRPr="001E1EE2" w:rsidRDefault="000444E8" w:rsidP="00096F8F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Q2</w:t>
            </w:r>
          </w:p>
        </w:tc>
        <w:tc>
          <w:tcPr>
            <w:tcW w:w="465" w:type="pct"/>
          </w:tcPr>
          <w:p w:rsidR="000444E8" w:rsidRDefault="000444E8" w:rsidP="000444E8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2016–17</w:t>
            </w:r>
          </w:p>
          <w:p w:rsidR="000444E8" w:rsidRPr="00B40746" w:rsidRDefault="000444E8" w:rsidP="006E24BF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Q3</w:t>
            </w:r>
          </w:p>
        </w:tc>
        <w:tc>
          <w:tcPr>
            <w:tcW w:w="464" w:type="pct"/>
          </w:tcPr>
          <w:p w:rsidR="000444E8" w:rsidRPr="00B40746" w:rsidRDefault="000444E8" w:rsidP="00072B17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B40746">
              <w:rPr>
                <w:rFonts w:asciiTheme="minorHAnsi" w:hAnsiTheme="minorHAnsi"/>
                <w:b/>
                <w:sz w:val="18"/>
                <w:szCs w:val="18"/>
              </w:rPr>
              <w:t>2016–17</w:t>
            </w:r>
          </w:p>
          <w:p w:rsidR="000444E8" w:rsidRPr="00B40746" w:rsidRDefault="000444E8" w:rsidP="00072B17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B40746">
              <w:rPr>
                <w:rFonts w:asciiTheme="minorHAnsi" w:hAnsiTheme="minorHAnsi"/>
                <w:b/>
                <w:sz w:val="18"/>
                <w:szCs w:val="18"/>
              </w:rPr>
              <w:t>Total</w:t>
            </w:r>
          </w:p>
        </w:tc>
      </w:tr>
      <w:tr w:rsidR="000444E8" w:rsidRPr="00491308" w:rsidTr="006E2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pct"/>
            <w:noWrap/>
            <w:hideMark/>
          </w:tcPr>
          <w:p w:rsidR="000444E8" w:rsidRPr="00491308" w:rsidRDefault="000444E8" w:rsidP="00B56F23">
            <w:pPr>
              <w:rPr>
                <w:rFonts w:cs="Arial"/>
                <w:bCs/>
                <w:sz w:val="18"/>
                <w:szCs w:val="18"/>
              </w:rPr>
            </w:pPr>
            <w:r w:rsidRPr="00491308">
              <w:rPr>
                <w:rFonts w:cs="Arial"/>
                <w:bCs/>
                <w:sz w:val="18"/>
                <w:szCs w:val="18"/>
              </w:rPr>
              <w:t>Requests outstanding at start of period</w:t>
            </w:r>
          </w:p>
        </w:tc>
        <w:tc>
          <w:tcPr>
            <w:tcW w:w="469" w:type="pct"/>
          </w:tcPr>
          <w:p w:rsidR="000444E8" w:rsidRPr="00491308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91308">
              <w:rPr>
                <w:rFonts w:cs="Arial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469" w:type="pct"/>
            <w:noWrap/>
          </w:tcPr>
          <w:p w:rsidR="000444E8" w:rsidRPr="00491308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91308">
              <w:rPr>
                <w:rFonts w:cs="Arial"/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469" w:type="pct"/>
          </w:tcPr>
          <w:p w:rsidR="000444E8" w:rsidRPr="00491308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91308">
              <w:rPr>
                <w:rFonts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469" w:type="pct"/>
          </w:tcPr>
          <w:p w:rsidR="000444E8" w:rsidRPr="00491308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91308">
              <w:rPr>
                <w:rFonts w:cs="Arial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468" w:type="pct"/>
          </w:tcPr>
          <w:p w:rsidR="000444E8" w:rsidRPr="00491308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491308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468" w:type="pct"/>
          </w:tcPr>
          <w:p w:rsidR="000444E8" w:rsidRPr="00491308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203</w:t>
            </w:r>
          </w:p>
        </w:tc>
        <w:tc>
          <w:tcPr>
            <w:tcW w:w="465" w:type="pct"/>
          </w:tcPr>
          <w:p w:rsidR="000444E8" w:rsidRPr="006E24BF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6E24BF">
              <w:rPr>
                <w:rFonts w:cs="Arial"/>
                <w:bCs/>
                <w:sz w:val="18"/>
                <w:szCs w:val="18"/>
              </w:rPr>
              <w:t>350</w:t>
            </w:r>
          </w:p>
        </w:tc>
        <w:tc>
          <w:tcPr>
            <w:tcW w:w="464" w:type="pct"/>
          </w:tcPr>
          <w:p w:rsidR="000444E8" w:rsidRPr="00B40746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B40746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</w:tr>
      <w:tr w:rsidR="000444E8" w:rsidRPr="00491308" w:rsidTr="006E24BF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pct"/>
            <w:noWrap/>
            <w:hideMark/>
          </w:tcPr>
          <w:p w:rsidR="000444E8" w:rsidRPr="00491308" w:rsidRDefault="000444E8" w:rsidP="00B56F23">
            <w:pPr>
              <w:rPr>
                <w:rFonts w:cs="Arial"/>
                <w:bCs/>
                <w:sz w:val="18"/>
                <w:szCs w:val="18"/>
              </w:rPr>
            </w:pPr>
            <w:r w:rsidRPr="00491308">
              <w:rPr>
                <w:rFonts w:cs="Arial"/>
                <w:bCs/>
                <w:sz w:val="18"/>
                <w:szCs w:val="18"/>
              </w:rPr>
              <w:t>Requests received in period</w:t>
            </w:r>
          </w:p>
        </w:tc>
        <w:tc>
          <w:tcPr>
            <w:tcW w:w="469" w:type="pct"/>
          </w:tcPr>
          <w:p w:rsidR="000444E8" w:rsidRPr="00491308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91308">
              <w:rPr>
                <w:rFonts w:cs="Arial"/>
                <w:b/>
                <w:bCs/>
                <w:sz w:val="18"/>
                <w:szCs w:val="18"/>
              </w:rPr>
              <w:t>1,146</w:t>
            </w:r>
          </w:p>
        </w:tc>
        <w:tc>
          <w:tcPr>
            <w:tcW w:w="469" w:type="pct"/>
            <w:noWrap/>
            <w:hideMark/>
          </w:tcPr>
          <w:p w:rsidR="000444E8" w:rsidRPr="00491308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91308">
              <w:rPr>
                <w:rFonts w:cs="Arial"/>
                <w:b/>
                <w:bCs/>
                <w:sz w:val="18"/>
                <w:szCs w:val="18"/>
              </w:rPr>
              <w:t>1,297</w:t>
            </w:r>
          </w:p>
        </w:tc>
        <w:tc>
          <w:tcPr>
            <w:tcW w:w="469" w:type="pct"/>
          </w:tcPr>
          <w:p w:rsidR="000444E8" w:rsidRPr="00491308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91308">
              <w:rPr>
                <w:rFonts w:cs="Arial"/>
                <w:b/>
                <w:bCs/>
                <w:sz w:val="18"/>
                <w:szCs w:val="18"/>
              </w:rPr>
              <w:t>973</w:t>
            </w:r>
          </w:p>
        </w:tc>
        <w:tc>
          <w:tcPr>
            <w:tcW w:w="469" w:type="pct"/>
          </w:tcPr>
          <w:p w:rsidR="000444E8" w:rsidRPr="00491308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91308">
              <w:rPr>
                <w:rFonts w:cs="Arial"/>
                <w:b/>
                <w:bCs/>
                <w:sz w:val="18"/>
                <w:szCs w:val="18"/>
              </w:rPr>
              <w:t>4,146</w:t>
            </w:r>
          </w:p>
        </w:tc>
        <w:tc>
          <w:tcPr>
            <w:tcW w:w="468" w:type="pct"/>
          </w:tcPr>
          <w:p w:rsidR="000444E8" w:rsidRPr="00491308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491308">
              <w:rPr>
                <w:rFonts w:cs="Arial"/>
                <w:bCs/>
                <w:sz w:val="18"/>
                <w:szCs w:val="18"/>
              </w:rPr>
              <w:t>787</w:t>
            </w:r>
          </w:p>
        </w:tc>
        <w:tc>
          <w:tcPr>
            <w:tcW w:w="468" w:type="pct"/>
          </w:tcPr>
          <w:p w:rsidR="000444E8" w:rsidRPr="00491308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755</w:t>
            </w:r>
          </w:p>
        </w:tc>
        <w:tc>
          <w:tcPr>
            <w:tcW w:w="465" w:type="pct"/>
          </w:tcPr>
          <w:p w:rsidR="000444E8" w:rsidRPr="006E24BF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6E24BF">
              <w:rPr>
                <w:rFonts w:cs="Arial"/>
                <w:bCs/>
                <w:sz w:val="18"/>
                <w:szCs w:val="18"/>
              </w:rPr>
              <w:t>523</w:t>
            </w:r>
          </w:p>
        </w:tc>
        <w:tc>
          <w:tcPr>
            <w:tcW w:w="464" w:type="pct"/>
          </w:tcPr>
          <w:p w:rsidR="000444E8" w:rsidRPr="00B40746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2,065</w:t>
            </w:r>
          </w:p>
        </w:tc>
      </w:tr>
      <w:tr w:rsidR="000444E8" w:rsidRPr="00491308" w:rsidTr="006E2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pct"/>
            <w:noWrap/>
            <w:hideMark/>
          </w:tcPr>
          <w:p w:rsidR="000444E8" w:rsidRPr="00491308" w:rsidRDefault="000444E8" w:rsidP="00B56F23">
            <w:pPr>
              <w:rPr>
                <w:rFonts w:cs="Arial"/>
                <w:bCs/>
                <w:sz w:val="18"/>
                <w:szCs w:val="18"/>
              </w:rPr>
            </w:pPr>
            <w:r w:rsidRPr="00491308">
              <w:rPr>
                <w:rFonts w:cs="Arial"/>
                <w:bCs/>
                <w:sz w:val="18"/>
                <w:szCs w:val="18"/>
              </w:rPr>
              <w:t>Requests withdrawn in period</w:t>
            </w:r>
          </w:p>
        </w:tc>
        <w:tc>
          <w:tcPr>
            <w:tcW w:w="469" w:type="pct"/>
          </w:tcPr>
          <w:p w:rsidR="000444E8" w:rsidRPr="00491308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91308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69" w:type="pct"/>
            <w:noWrap/>
            <w:hideMark/>
          </w:tcPr>
          <w:p w:rsidR="000444E8" w:rsidRPr="00491308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91308">
              <w:rPr>
                <w:rFonts w:cs="Arial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469" w:type="pct"/>
          </w:tcPr>
          <w:p w:rsidR="000444E8" w:rsidRPr="00491308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91308">
              <w:rPr>
                <w:rFonts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69" w:type="pct"/>
          </w:tcPr>
          <w:p w:rsidR="000444E8" w:rsidRPr="00491308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91308">
              <w:rPr>
                <w:rFonts w:cs="Arial"/>
                <w:b/>
                <w:bCs/>
                <w:sz w:val="18"/>
                <w:szCs w:val="18"/>
              </w:rPr>
              <w:t>1,013</w:t>
            </w:r>
          </w:p>
        </w:tc>
        <w:tc>
          <w:tcPr>
            <w:tcW w:w="468" w:type="pct"/>
          </w:tcPr>
          <w:p w:rsidR="000444E8" w:rsidRPr="00491308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491308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468" w:type="pct"/>
          </w:tcPr>
          <w:p w:rsidR="000444E8" w:rsidRPr="00491308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307</w:t>
            </w:r>
          </w:p>
        </w:tc>
        <w:tc>
          <w:tcPr>
            <w:tcW w:w="465" w:type="pct"/>
          </w:tcPr>
          <w:p w:rsidR="000444E8" w:rsidRPr="006E24BF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6E24BF">
              <w:rPr>
                <w:rFonts w:cs="Arial"/>
                <w:bCs/>
                <w:sz w:val="18"/>
                <w:szCs w:val="18"/>
              </w:rPr>
              <w:t>133</w:t>
            </w:r>
          </w:p>
        </w:tc>
        <w:tc>
          <w:tcPr>
            <w:tcW w:w="464" w:type="pct"/>
          </w:tcPr>
          <w:p w:rsidR="000444E8" w:rsidRPr="00B40746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468</w:t>
            </w:r>
          </w:p>
        </w:tc>
      </w:tr>
      <w:tr w:rsidR="000444E8" w:rsidRPr="00491308" w:rsidTr="006E24BF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pct"/>
            <w:noWrap/>
            <w:hideMark/>
          </w:tcPr>
          <w:p w:rsidR="000444E8" w:rsidRPr="00491308" w:rsidRDefault="000444E8" w:rsidP="00B56F23">
            <w:pPr>
              <w:rPr>
                <w:rFonts w:cs="Arial"/>
                <w:bCs/>
                <w:sz w:val="18"/>
                <w:szCs w:val="18"/>
              </w:rPr>
            </w:pPr>
            <w:r w:rsidRPr="00491308">
              <w:rPr>
                <w:rFonts w:cs="Arial"/>
                <w:bCs/>
                <w:sz w:val="18"/>
                <w:szCs w:val="18"/>
              </w:rPr>
              <w:t>Requests completed in period</w:t>
            </w:r>
          </w:p>
        </w:tc>
        <w:tc>
          <w:tcPr>
            <w:tcW w:w="469" w:type="pct"/>
          </w:tcPr>
          <w:p w:rsidR="000444E8" w:rsidRPr="00491308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91308">
              <w:rPr>
                <w:rFonts w:cs="Arial"/>
                <w:b/>
                <w:bCs/>
                <w:sz w:val="18"/>
                <w:szCs w:val="18"/>
              </w:rPr>
              <w:t>664</w:t>
            </w:r>
          </w:p>
        </w:tc>
        <w:tc>
          <w:tcPr>
            <w:tcW w:w="469" w:type="pct"/>
            <w:noWrap/>
            <w:hideMark/>
          </w:tcPr>
          <w:p w:rsidR="000444E8" w:rsidRPr="00491308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91308">
              <w:rPr>
                <w:rFonts w:cs="Arial"/>
                <w:b/>
                <w:bCs/>
                <w:sz w:val="18"/>
                <w:szCs w:val="18"/>
              </w:rPr>
              <w:t>1,522</w:t>
            </w:r>
          </w:p>
        </w:tc>
        <w:tc>
          <w:tcPr>
            <w:tcW w:w="469" w:type="pct"/>
          </w:tcPr>
          <w:p w:rsidR="000444E8" w:rsidRPr="00491308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91308">
              <w:rPr>
                <w:rFonts w:cs="Arial"/>
                <w:b/>
                <w:bCs/>
                <w:sz w:val="18"/>
                <w:szCs w:val="18"/>
              </w:rPr>
              <w:t>869</w:t>
            </w:r>
          </w:p>
        </w:tc>
        <w:tc>
          <w:tcPr>
            <w:tcW w:w="469" w:type="pct"/>
          </w:tcPr>
          <w:p w:rsidR="000444E8" w:rsidRPr="00491308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91308">
              <w:rPr>
                <w:rFonts w:cs="Arial"/>
                <w:b/>
                <w:bCs/>
                <w:sz w:val="18"/>
                <w:szCs w:val="18"/>
              </w:rPr>
              <w:t>3,251</w:t>
            </w:r>
          </w:p>
        </w:tc>
        <w:tc>
          <w:tcPr>
            <w:tcW w:w="468" w:type="pct"/>
          </w:tcPr>
          <w:p w:rsidR="000444E8" w:rsidRPr="00491308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491308">
              <w:rPr>
                <w:rFonts w:cs="Arial"/>
                <w:bCs/>
                <w:sz w:val="18"/>
                <w:szCs w:val="18"/>
              </w:rPr>
              <w:t>576</w:t>
            </w:r>
          </w:p>
        </w:tc>
        <w:tc>
          <w:tcPr>
            <w:tcW w:w="468" w:type="pct"/>
          </w:tcPr>
          <w:p w:rsidR="000444E8" w:rsidRPr="00491308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301</w:t>
            </w:r>
          </w:p>
        </w:tc>
        <w:tc>
          <w:tcPr>
            <w:tcW w:w="465" w:type="pct"/>
          </w:tcPr>
          <w:p w:rsidR="000444E8" w:rsidRPr="006E24BF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6E24BF">
              <w:rPr>
                <w:rFonts w:cs="Arial"/>
                <w:bCs/>
                <w:sz w:val="18"/>
                <w:szCs w:val="18"/>
              </w:rPr>
              <w:t>471</w:t>
            </w:r>
          </w:p>
        </w:tc>
        <w:tc>
          <w:tcPr>
            <w:tcW w:w="464" w:type="pct"/>
          </w:tcPr>
          <w:p w:rsidR="000444E8" w:rsidRPr="00B40746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1,348</w:t>
            </w:r>
          </w:p>
        </w:tc>
      </w:tr>
      <w:tr w:rsidR="000444E8" w:rsidRPr="00491308" w:rsidTr="006E2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pct"/>
            <w:noWrap/>
            <w:hideMark/>
          </w:tcPr>
          <w:p w:rsidR="000444E8" w:rsidRPr="00491308" w:rsidRDefault="000444E8" w:rsidP="00B56F23">
            <w:pPr>
              <w:rPr>
                <w:rFonts w:cs="Arial"/>
                <w:bCs/>
                <w:sz w:val="18"/>
                <w:szCs w:val="18"/>
              </w:rPr>
            </w:pPr>
            <w:r w:rsidRPr="00491308">
              <w:rPr>
                <w:rFonts w:cs="Arial"/>
                <w:bCs/>
                <w:sz w:val="18"/>
                <w:szCs w:val="18"/>
              </w:rPr>
              <w:t>Average time to completion (business days)</w:t>
            </w:r>
          </w:p>
        </w:tc>
        <w:tc>
          <w:tcPr>
            <w:tcW w:w="469" w:type="pct"/>
          </w:tcPr>
          <w:p w:rsidR="000444E8" w:rsidRPr="00491308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91308">
              <w:rPr>
                <w:rFonts w:cs="Arial"/>
                <w:b/>
                <w:bCs/>
                <w:sz w:val="18"/>
                <w:szCs w:val="18"/>
              </w:rPr>
              <w:t>33.9</w:t>
            </w:r>
          </w:p>
        </w:tc>
        <w:tc>
          <w:tcPr>
            <w:tcW w:w="469" w:type="pct"/>
            <w:noWrap/>
            <w:hideMark/>
          </w:tcPr>
          <w:p w:rsidR="000444E8" w:rsidRPr="00491308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91308">
              <w:rPr>
                <w:rFonts w:cs="Arial"/>
                <w:b/>
                <w:bCs/>
                <w:sz w:val="18"/>
                <w:szCs w:val="18"/>
              </w:rPr>
              <w:t>13.8</w:t>
            </w:r>
          </w:p>
        </w:tc>
        <w:tc>
          <w:tcPr>
            <w:tcW w:w="469" w:type="pct"/>
          </w:tcPr>
          <w:p w:rsidR="000444E8" w:rsidRPr="00491308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91308">
              <w:rPr>
                <w:rFonts w:cs="Arial"/>
                <w:b/>
                <w:bCs/>
                <w:sz w:val="18"/>
                <w:szCs w:val="18"/>
              </w:rPr>
              <w:t>19.7</w:t>
            </w:r>
          </w:p>
        </w:tc>
        <w:tc>
          <w:tcPr>
            <w:tcW w:w="469" w:type="pct"/>
          </w:tcPr>
          <w:p w:rsidR="000444E8" w:rsidRPr="00491308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91308">
              <w:rPr>
                <w:rFonts w:cs="Arial"/>
                <w:b/>
                <w:bCs/>
                <w:sz w:val="18"/>
                <w:szCs w:val="18"/>
              </w:rPr>
              <w:t>18.6</w:t>
            </w:r>
          </w:p>
        </w:tc>
        <w:tc>
          <w:tcPr>
            <w:tcW w:w="468" w:type="pct"/>
          </w:tcPr>
          <w:p w:rsidR="000444E8" w:rsidRPr="00491308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491308">
              <w:rPr>
                <w:rFonts w:cs="Arial"/>
                <w:bCs/>
                <w:sz w:val="18"/>
                <w:szCs w:val="18"/>
              </w:rPr>
              <w:t>5.8</w:t>
            </w:r>
          </w:p>
        </w:tc>
        <w:tc>
          <w:tcPr>
            <w:tcW w:w="468" w:type="pct"/>
          </w:tcPr>
          <w:p w:rsidR="000444E8" w:rsidRPr="00491308" w:rsidRDefault="000444E8" w:rsidP="00B56F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20.7</w:t>
            </w:r>
          </w:p>
        </w:tc>
        <w:tc>
          <w:tcPr>
            <w:tcW w:w="465" w:type="pct"/>
          </w:tcPr>
          <w:p w:rsidR="000444E8" w:rsidRPr="006E24BF" w:rsidRDefault="000444E8" w:rsidP="004560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6E24BF">
              <w:rPr>
                <w:rFonts w:cs="Arial"/>
                <w:bCs/>
                <w:sz w:val="18"/>
                <w:szCs w:val="18"/>
              </w:rPr>
              <w:t>33.8</w:t>
            </w:r>
          </w:p>
        </w:tc>
        <w:tc>
          <w:tcPr>
            <w:tcW w:w="464" w:type="pct"/>
          </w:tcPr>
          <w:p w:rsidR="000444E8" w:rsidRPr="00B40746" w:rsidRDefault="000444E8" w:rsidP="004560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19.3</w:t>
            </w:r>
          </w:p>
        </w:tc>
      </w:tr>
      <w:tr w:rsidR="000444E8" w:rsidRPr="00764FC5" w:rsidTr="006E24BF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pct"/>
            <w:noWrap/>
          </w:tcPr>
          <w:p w:rsidR="000444E8" w:rsidRPr="00764FC5" w:rsidRDefault="000444E8" w:rsidP="00B56F2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Median time to completion (business days)</w:t>
            </w:r>
          </w:p>
        </w:tc>
        <w:tc>
          <w:tcPr>
            <w:tcW w:w="469" w:type="pct"/>
          </w:tcPr>
          <w:p w:rsidR="000444E8" w:rsidRPr="00491308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91308">
              <w:rPr>
                <w:rFonts w:cs="Arial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469" w:type="pct"/>
            <w:noWrap/>
          </w:tcPr>
          <w:p w:rsidR="000444E8" w:rsidRPr="00491308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91308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9" w:type="pct"/>
          </w:tcPr>
          <w:p w:rsidR="000444E8" w:rsidRPr="00491308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91308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69" w:type="pct"/>
          </w:tcPr>
          <w:p w:rsidR="000444E8" w:rsidRPr="00491308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91308">
              <w:rPr>
                <w:rFonts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68" w:type="pct"/>
          </w:tcPr>
          <w:p w:rsidR="000444E8" w:rsidRPr="00491308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491308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468" w:type="pct"/>
          </w:tcPr>
          <w:p w:rsidR="000444E8" w:rsidRPr="00491308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465" w:type="pct"/>
          </w:tcPr>
          <w:p w:rsidR="000444E8" w:rsidRPr="006E24BF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6E24BF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464" w:type="pct"/>
          </w:tcPr>
          <w:p w:rsidR="000444E8" w:rsidRPr="00B40746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</w:t>
            </w:r>
          </w:p>
        </w:tc>
      </w:tr>
      <w:tr w:rsidR="000444E8" w:rsidRPr="00764FC5" w:rsidTr="006E2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pct"/>
            <w:noWrap/>
          </w:tcPr>
          <w:p w:rsidR="000444E8" w:rsidRDefault="000444E8" w:rsidP="00B56F23">
            <w:pPr>
              <w:rPr>
                <w:rFonts w:eastAsia="Calibri"/>
                <w:sz w:val="18"/>
                <w:szCs w:val="18"/>
              </w:rPr>
            </w:pPr>
            <w:r w:rsidRPr="00764FC5">
              <w:rPr>
                <w:rFonts w:eastAsia="Calibri"/>
                <w:sz w:val="18"/>
                <w:szCs w:val="18"/>
              </w:rPr>
              <w:t>Requests outstanding at end of period</w:t>
            </w:r>
          </w:p>
        </w:tc>
        <w:tc>
          <w:tcPr>
            <w:tcW w:w="469" w:type="pct"/>
          </w:tcPr>
          <w:p w:rsidR="000444E8" w:rsidRPr="00491308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91308">
              <w:rPr>
                <w:rFonts w:cs="Arial"/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469" w:type="pct"/>
            <w:noWrap/>
          </w:tcPr>
          <w:p w:rsidR="000444E8" w:rsidRPr="00491308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91308">
              <w:rPr>
                <w:rFonts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469" w:type="pct"/>
          </w:tcPr>
          <w:p w:rsidR="000444E8" w:rsidRPr="00491308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91308">
              <w:rPr>
                <w:rFonts w:cs="Arial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469" w:type="pct"/>
          </w:tcPr>
          <w:p w:rsidR="000444E8" w:rsidRPr="00491308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491308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68" w:type="pct"/>
          </w:tcPr>
          <w:p w:rsidR="000444E8" w:rsidRPr="00491308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491308">
              <w:rPr>
                <w:rFonts w:cs="Arial"/>
                <w:bCs/>
                <w:sz w:val="18"/>
                <w:szCs w:val="18"/>
              </w:rPr>
              <w:t>203</w:t>
            </w:r>
          </w:p>
        </w:tc>
        <w:tc>
          <w:tcPr>
            <w:tcW w:w="468" w:type="pct"/>
          </w:tcPr>
          <w:p w:rsidR="000444E8" w:rsidRPr="00491308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350</w:t>
            </w:r>
          </w:p>
        </w:tc>
        <w:tc>
          <w:tcPr>
            <w:tcW w:w="465" w:type="pct"/>
          </w:tcPr>
          <w:p w:rsidR="000444E8" w:rsidRPr="006E24BF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6E24BF">
              <w:rPr>
                <w:rFonts w:cs="Arial"/>
                <w:bCs/>
                <w:sz w:val="18"/>
                <w:szCs w:val="18"/>
              </w:rPr>
              <w:t>269</w:t>
            </w:r>
          </w:p>
        </w:tc>
        <w:tc>
          <w:tcPr>
            <w:tcW w:w="464" w:type="pct"/>
          </w:tcPr>
          <w:p w:rsidR="000444E8" w:rsidRPr="00B40746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269</w:t>
            </w:r>
          </w:p>
        </w:tc>
      </w:tr>
    </w:tbl>
    <w:p w:rsidR="004940D8" w:rsidRPr="00255C1E" w:rsidRDefault="000B288A" w:rsidP="00E60E7C">
      <w:pPr>
        <w:pStyle w:val="TableText"/>
        <w:rPr>
          <w:sz w:val="18"/>
          <w:szCs w:val="18"/>
        </w:rPr>
      </w:pPr>
      <w:r w:rsidRPr="00255C1E">
        <w:rPr>
          <w:sz w:val="18"/>
          <w:szCs w:val="18"/>
        </w:rPr>
        <w:t>Note:  The table identifies</w:t>
      </w:r>
      <w:r w:rsidR="00166823" w:rsidRPr="00255C1E">
        <w:rPr>
          <w:sz w:val="18"/>
          <w:szCs w:val="18"/>
        </w:rPr>
        <w:t xml:space="preserve"> the number of ‘options’ received by the PBO, noting </w:t>
      </w:r>
      <w:r w:rsidR="00D537C5" w:rsidRPr="00255C1E">
        <w:rPr>
          <w:sz w:val="18"/>
          <w:szCs w:val="18"/>
        </w:rPr>
        <w:t>that</w:t>
      </w:r>
      <w:r w:rsidR="00166823" w:rsidRPr="00255C1E">
        <w:rPr>
          <w:sz w:val="18"/>
          <w:szCs w:val="18"/>
        </w:rPr>
        <w:t xml:space="preserve"> a single request can contain multiple options.</w:t>
      </w:r>
    </w:p>
    <w:p w:rsidR="00F36BEB" w:rsidRDefault="00F36BEB" w:rsidP="00E60E7C">
      <w:pPr>
        <w:pStyle w:val="Caption"/>
        <w:keepLines w:val="0"/>
        <w:spacing w:before="340" w:after="114" w:line="250" w:lineRule="atLeast"/>
        <w:jc w:val="left"/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</w:pPr>
      <w:r w:rsidRP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Figure 1:</w:t>
      </w:r>
      <w:r w:rsid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 PBO response t</w:t>
      </w:r>
      <w:r w:rsidRP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imes for </w:t>
      </w:r>
      <w:r w:rsid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c</w:t>
      </w:r>
      <w:r w:rsidRP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ompleted </w:t>
      </w:r>
      <w:r w:rsid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r</w:t>
      </w:r>
      <w:r w:rsidRP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equests </w:t>
      </w:r>
      <w:r w:rsidR="001244FE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in </w:t>
      </w:r>
      <w:r w:rsidR="00357D9F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2016</w:t>
      </w:r>
      <w:r w:rsidR="00310C2F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–</w:t>
      </w:r>
      <w:r w:rsidR="001244FE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1</w:t>
      </w:r>
      <w:r w:rsidR="00357D9F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7</w:t>
      </w:r>
      <w:r w:rsidR="001244FE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 to </w:t>
      </w:r>
      <w:r w:rsidR="0056304F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3</w:t>
      </w:r>
      <w:r w:rsidR="00AA5AD6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1</w:t>
      </w:r>
      <w:r w:rsidR="0056304F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 </w:t>
      </w:r>
      <w:r w:rsidR="0046029E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March 2017</w:t>
      </w:r>
    </w:p>
    <w:p w:rsidR="003553BD" w:rsidRDefault="000444E8" w:rsidP="00E60E7C">
      <w:pPr>
        <w:pStyle w:val="PBOtext"/>
      </w:pPr>
      <w:r>
        <w:rPr>
          <w:noProof/>
        </w:rPr>
        <w:drawing>
          <wp:inline distT="0" distB="0" distL="0" distR="0" wp14:anchorId="22FD9D49" wp14:editId="7687CEA3">
            <wp:extent cx="5731510" cy="2627554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3BD" w:rsidRPr="003553BD" w:rsidRDefault="003553BD" w:rsidP="00E60E7C">
      <w:pPr>
        <w:pStyle w:val="PBOtext"/>
      </w:pPr>
      <w:r>
        <w:br w:type="page"/>
      </w:r>
    </w:p>
    <w:p w:rsidR="007432E3" w:rsidRDefault="007432E3" w:rsidP="00E60E7C">
      <w:pPr>
        <w:pStyle w:val="PBOheading1"/>
      </w:pPr>
      <w:r w:rsidRPr="00344B8D">
        <w:lastRenderedPageBreak/>
        <w:t xml:space="preserve">Requests by </w:t>
      </w:r>
      <w:r w:rsidRPr="00BB0ADB">
        <w:t>the</w:t>
      </w:r>
      <w:r>
        <w:t xml:space="preserve"> </w:t>
      </w:r>
      <w:r w:rsidRPr="00344B8D">
        <w:t xml:space="preserve">PBO for information from </w:t>
      </w:r>
      <w:r>
        <w:t>agencies</w:t>
      </w:r>
    </w:p>
    <w:p w:rsidR="007432E3" w:rsidRDefault="007432E3" w:rsidP="00E60E7C">
      <w:pPr>
        <w:pStyle w:val="Caption"/>
        <w:keepLines w:val="0"/>
        <w:spacing w:before="340" w:after="114" w:line="250" w:lineRule="atLeast"/>
        <w:jc w:val="left"/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</w:pPr>
      <w:r w:rsidRP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Table</w:t>
      </w:r>
      <w:r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 2</w:t>
      </w:r>
      <w:r w:rsidRP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: Information requests to agencies</w:t>
      </w:r>
      <w:r w:rsidR="006F770F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to </w:t>
      </w:r>
      <w:r w:rsidR="0056304F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3</w:t>
      </w:r>
      <w:r w:rsidR="00AA5AD6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1</w:t>
      </w:r>
      <w:r w:rsidR="00F2351D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 </w:t>
      </w:r>
      <w:r w:rsidR="00DC430D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March 2017</w:t>
      </w:r>
    </w:p>
    <w:tbl>
      <w:tblPr>
        <w:tblStyle w:val="TableGrid21"/>
        <w:tblW w:w="5000" w:type="pct"/>
        <w:tblLayout w:type="fixed"/>
        <w:tblLook w:val="04A0" w:firstRow="1" w:lastRow="0" w:firstColumn="1" w:lastColumn="0" w:noHBand="0" w:noVBand="1"/>
      </w:tblPr>
      <w:tblGrid>
        <w:gridCol w:w="2073"/>
        <w:gridCol w:w="870"/>
        <w:gridCol w:w="870"/>
        <w:gridCol w:w="868"/>
        <w:gridCol w:w="870"/>
        <w:gridCol w:w="870"/>
        <w:gridCol w:w="870"/>
        <w:gridCol w:w="870"/>
        <w:gridCol w:w="865"/>
      </w:tblGrid>
      <w:tr w:rsidR="000444E8" w:rsidRPr="001244FE" w:rsidTr="006E2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48" w:type="pct"/>
            <w:noWrap/>
            <w:hideMark/>
          </w:tcPr>
          <w:p w:rsidR="000444E8" w:rsidRPr="001244FE" w:rsidRDefault="000444E8" w:rsidP="00E60E7C">
            <w:pPr>
              <w:keepNext/>
              <w:keepLines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82" w:type="pct"/>
            <w:noWrap/>
            <w:hideMark/>
          </w:tcPr>
          <w:p w:rsidR="000444E8" w:rsidRDefault="000444E8" w:rsidP="00E60E7C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244FE">
              <w:rPr>
                <w:rFonts w:asciiTheme="minorHAnsi" w:hAnsiTheme="minorHAnsi"/>
                <w:b/>
                <w:sz w:val="18"/>
                <w:szCs w:val="18"/>
              </w:rPr>
              <w:t>2012–13</w:t>
            </w:r>
          </w:p>
          <w:p w:rsidR="000444E8" w:rsidRPr="001244FE" w:rsidRDefault="000444E8" w:rsidP="00E60E7C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482" w:type="pct"/>
            <w:noWrap/>
            <w:hideMark/>
          </w:tcPr>
          <w:p w:rsidR="000444E8" w:rsidRDefault="000444E8" w:rsidP="00E60E7C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244FE">
              <w:rPr>
                <w:rFonts w:asciiTheme="minorHAnsi" w:hAnsiTheme="minorHAnsi"/>
                <w:b/>
                <w:sz w:val="18"/>
                <w:szCs w:val="18"/>
              </w:rPr>
              <w:t>2013–14</w:t>
            </w:r>
          </w:p>
          <w:p w:rsidR="000444E8" w:rsidRPr="001244FE" w:rsidRDefault="000444E8" w:rsidP="00E60E7C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481" w:type="pct"/>
          </w:tcPr>
          <w:p w:rsidR="000444E8" w:rsidRDefault="000444E8" w:rsidP="00E60E7C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2014</w:t>
            </w:r>
            <w:r w:rsidRPr="001244FE">
              <w:rPr>
                <w:rFonts w:asciiTheme="minorHAnsi" w:hAnsiTheme="minorHAnsi"/>
                <w:b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  <w:p w:rsidR="000444E8" w:rsidRPr="00480195" w:rsidRDefault="000444E8" w:rsidP="00E60E7C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482" w:type="pct"/>
          </w:tcPr>
          <w:p w:rsidR="000444E8" w:rsidRDefault="000444E8" w:rsidP="00E60E7C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244FE">
              <w:rPr>
                <w:rFonts w:asciiTheme="minorHAnsi" w:hAnsiTheme="minorHAnsi"/>
                <w:b/>
                <w:sz w:val="18"/>
                <w:szCs w:val="18"/>
              </w:rPr>
              <w:t>201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Pr="001244FE">
              <w:rPr>
                <w:rFonts w:asciiTheme="minorHAnsi" w:hAnsiTheme="minorHAnsi"/>
                <w:b/>
                <w:sz w:val="18"/>
                <w:szCs w:val="18"/>
              </w:rPr>
              <w:t>–1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0444E8" w:rsidRPr="001244FE" w:rsidRDefault="000444E8" w:rsidP="00E60E7C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482" w:type="pct"/>
          </w:tcPr>
          <w:p w:rsidR="000444E8" w:rsidRDefault="000444E8" w:rsidP="00E60E7C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E1EE2">
              <w:rPr>
                <w:rFonts w:asciiTheme="minorHAnsi" w:hAnsiTheme="minorHAnsi"/>
                <w:sz w:val="18"/>
                <w:szCs w:val="18"/>
              </w:rPr>
              <w:t>201</w:t>
            </w:r>
            <w:r>
              <w:rPr>
                <w:rFonts w:asciiTheme="minorHAnsi" w:hAnsiTheme="minorHAnsi"/>
                <w:sz w:val="18"/>
                <w:szCs w:val="18"/>
              </w:rPr>
              <w:t>6–</w:t>
            </w:r>
            <w:r w:rsidRPr="001E1EE2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0444E8" w:rsidRPr="001244FE" w:rsidRDefault="000444E8" w:rsidP="00E60E7C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Q1</w:t>
            </w:r>
          </w:p>
        </w:tc>
        <w:tc>
          <w:tcPr>
            <w:tcW w:w="482" w:type="pct"/>
          </w:tcPr>
          <w:p w:rsidR="000444E8" w:rsidRDefault="000444E8" w:rsidP="00072B17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B2B00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2016</w:t>
            </w:r>
            <w:r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–</w:t>
            </w:r>
            <w:r w:rsidRPr="00EB2B00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17</w:t>
            </w:r>
          </w:p>
          <w:p w:rsidR="000444E8" w:rsidRPr="00FF0C91" w:rsidRDefault="000444E8" w:rsidP="00072B17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Q2</w:t>
            </w:r>
          </w:p>
        </w:tc>
        <w:tc>
          <w:tcPr>
            <w:tcW w:w="482" w:type="pct"/>
          </w:tcPr>
          <w:p w:rsidR="000444E8" w:rsidRDefault="000444E8" w:rsidP="000444E8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EB2B00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2016</w:t>
            </w:r>
            <w:r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–</w:t>
            </w:r>
            <w:r w:rsidRPr="00EB2B00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17</w:t>
            </w:r>
          </w:p>
          <w:p w:rsidR="000444E8" w:rsidRPr="00B40746" w:rsidRDefault="000444E8" w:rsidP="000444E8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Q2</w:t>
            </w:r>
          </w:p>
        </w:tc>
        <w:tc>
          <w:tcPr>
            <w:tcW w:w="480" w:type="pct"/>
          </w:tcPr>
          <w:p w:rsidR="000444E8" w:rsidRPr="00B40746" w:rsidRDefault="000444E8" w:rsidP="00072B17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B40746">
              <w:rPr>
                <w:rFonts w:asciiTheme="minorHAnsi" w:hAnsiTheme="minorHAnsi"/>
                <w:b/>
                <w:sz w:val="18"/>
                <w:szCs w:val="18"/>
              </w:rPr>
              <w:t>2016–17</w:t>
            </w:r>
          </w:p>
          <w:p w:rsidR="000444E8" w:rsidRPr="00B40746" w:rsidRDefault="000444E8" w:rsidP="00072B17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B40746">
              <w:rPr>
                <w:rFonts w:asciiTheme="minorHAnsi" w:hAnsiTheme="minorHAnsi"/>
                <w:b/>
                <w:sz w:val="18"/>
                <w:szCs w:val="18"/>
              </w:rPr>
              <w:t>Total</w:t>
            </w:r>
          </w:p>
        </w:tc>
      </w:tr>
      <w:tr w:rsidR="00D00268" w:rsidRPr="00B6426B" w:rsidTr="008C7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shd w:val="clear" w:color="auto" w:fill="2B3B5F"/>
            <w:noWrap/>
          </w:tcPr>
          <w:p w:rsidR="00D00268" w:rsidRPr="00D00268" w:rsidRDefault="00D00268" w:rsidP="00D00268">
            <w:pPr>
              <w:spacing w:line="240" w:lineRule="auto"/>
              <w:ind w:left="0"/>
              <w:rPr>
                <w:rFonts w:eastAsia="Calibri"/>
                <w:sz w:val="4"/>
                <w:szCs w:val="4"/>
              </w:rPr>
            </w:pPr>
          </w:p>
        </w:tc>
        <w:tc>
          <w:tcPr>
            <w:tcW w:w="482" w:type="pct"/>
            <w:shd w:val="clear" w:color="auto" w:fill="2B3B5F"/>
            <w:noWrap/>
          </w:tcPr>
          <w:p w:rsidR="00D00268" w:rsidRPr="00D00268" w:rsidRDefault="00D00268" w:rsidP="00D002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82" w:type="pct"/>
            <w:shd w:val="clear" w:color="auto" w:fill="2B3B5F"/>
            <w:noWrap/>
          </w:tcPr>
          <w:p w:rsidR="00D00268" w:rsidRPr="00D00268" w:rsidRDefault="00D00268" w:rsidP="00D002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81" w:type="pct"/>
            <w:shd w:val="clear" w:color="auto" w:fill="2B3B5F"/>
          </w:tcPr>
          <w:p w:rsidR="00D00268" w:rsidRPr="00D00268" w:rsidRDefault="00D00268" w:rsidP="00D002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4"/>
                <w:szCs w:val="4"/>
              </w:rPr>
            </w:pPr>
          </w:p>
        </w:tc>
        <w:tc>
          <w:tcPr>
            <w:tcW w:w="482" w:type="pct"/>
            <w:shd w:val="clear" w:color="auto" w:fill="2B3B5F"/>
          </w:tcPr>
          <w:p w:rsidR="00D00268" w:rsidRPr="00D00268" w:rsidRDefault="00D00268" w:rsidP="00D002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82" w:type="pct"/>
            <w:shd w:val="clear" w:color="auto" w:fill="2B3B5F"/>
          </w:tcPr>
          <w:p w:rsidR="00D00268" w:rsidRPr="00D00268" w:rsidRDefault="00D00268" w:rsidP="00D002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4"/>
                <w:szCs w:val="4"/>
              </w:rPr>
            </w:pPr>
          </w:p>
        </w:tc>
        <w:tc>
          <w:tcPr>
            <w:tcW w:w="482" w:type="pct"/>
            <w:shd w:val="clear" w:color="auto" w:fill="2B3B5F"/>
          </w:tcPr>
          <w:p w:rsidR="00D00268" w:rsidRPr="00D00268" w:rsidRDefault="00D00268" w:rsidP="00D002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4"/>
                <w:szCs w:val="4"/>
              </w:rPr>
            </w:pPr>
          </w:p>
        </w:tc>
        <w:tc>
          <w:tcPr>
            <w:tcW w:w="482" w:type="pct"/>
            <w:shd w:val="clear" w:color="auto" w:fill="2B3B5F"/>
          </w:tcPr>
          <w:p w:rsidR="00D00268" w:rsidRPr="00D00268" w:rsidRDefault="00D00268" w:rsidP="00D002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4"/>
                <w:szCs w:val="4"/>
              </w:rPr>
            </w:pPr>
          </w:p>
        </w:tc>
        <w:tc>
          <w:tcPr>
            <w:tcW w:w="480" w:type="pct"/>
            <w:shd w:val="clear" w:color="auto" w:fill="2B3B5F"/>
          </w:tcPr>
          <w:p w:rsidR="00D00268" w:rsidRPr="00D00268" w:rsidRDefault="00D00268" w:rsidP="00D0026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4"/>
                <w:szCs w:val="4"/>
              </w:rPr>
            </w:pPr>
          </w:p>
        </w:tc>
      </w:tr>
      <w:tr w:rsidR="00D00268" w:rsidRPr="00B6426B" w:rsidTr="006E24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noWrap/>
            <w:hideMark/>
          </w:tcPr>
          <w:p w:rsidR="000444E8" w:rsidRPr="001244FE" w:rsidRDefault="000444E8" w:rsidP="00E60E7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Requests outstanding at start of </w:t>
            </w:r>
            <w:r w:rsidRPr="00FF6FE9">
              <w:rPr>
                <w:rFonts w:eastAsia="Calibri"/>
                <w:sz w:val="18"/>
                <w:szCs w:val="18"/>
              </w:rPr>
              <w:t>period</w:t>
            </w:r>
          </w:p>
        </w:tc>
        <w:tc>
          <w:tcPr>
            <w:tcW w:w="482" w:type="pct"/>
            <w:noWrap/>
            <w:hideMark/>
          </w:tcPr>
          <w:p w:rsidR="000444E8" w:rsidRPr="00B6426B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–</w:t>
            </w:r>
          </w:p>
        </w:tc>
        <w:tc>
          <w:tcPr>
            <w:tcW w:w="482" w:type="pct"/>
            <w:noWrap/>
            <w:hideMark/>
          </w:tcPr>
          <w:p w:rsidR="000444E8" w:rsidRPr="00B6426B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6426B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81" w:type="pct"/>
          </w:tcPr>
          <w:p w:rsidR="000444E8" w:rsidRPr="00480195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8019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82" w:type="pct"/>
          </w:tcPr>
          <w:p w:rsidR="000444E8" w:rsidRPr="00353D66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53D66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82" w:type="pct"/>
          </w:tcPr>
          <w:p w:rsidR="000444E8" w:rsidRPr="007C1A69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7C1A69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2" w:type="pct"/>
          </w:tcPr>
          <w:p w:rsidR="000444E8" w:rsidRPr="007C1A69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82" w:type="pct"/>
          </w:tcPr>
          <w:p w:rsidR="000444E8" w:rsidRPr="006E24BF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6E24BF">
              <w:rPr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480" w:type="pct"/>
          </w:tcPr>
          <w:p w:rsidR="000444E8" w:rsidRPr="00B40746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B4074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0444E8" w:rsidRPr="00B6426B" w:rsidTr="006E2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noWrap/>
            <w:hideMark/>
          </w:tcPr>
          <w:p w:rsidR="000444E8" w:rsidRPr="001244FE" w:rsidRDefault="000444E8" w:rsidP="00E60E7C">
            <w:pPr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sz w:val="18"/>
                <w:szCs w:val="18"/>
              </w:rPr>
              <w:t>Requests sent in period</w:t>
            </w:r>
          </w:p>
        </w:tc>
        <w:tc>
          <w:tcPr>
            <w:tcW w:w="482" w:type="pct"/>
            <w:noWrap/>
            <w:hideMark/>
          </w:tcPr>
          <w:p w:rsidR="000444E8" w:rsidRPr="00B6426B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6426B">
              <w:rPr>
                <w:b/>
                <w:b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482" w:type="pct"/>
            <w:noWrap/>
            <w:hideMark/>
          </w:tcPr>
          <w:p w:rsidR="000444E8" w:rsidRPr="00B6426B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6426B">
              <w:rPr>
                <w:b/>
                <w:bCs/>
                <w:color w:val="000000"/>
                <w:sz w:val="18"/>
                <w:szCs w:val="18"/>
              </w:rPr>
              <w:t>388</w:t>
            </w:r>
          </w:p>
        </w:tc>
        <w:tc>
          <w:tcPr>
            <w:tcW w:w="481" w:type="pct"/>
          </w:tcPr>
          <w:p w:rsidR="000444E8" w:rsidRPr="00480195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8019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482" w:type="pct"/>
          </w:tcPr>
          <w:p w:rsidR="000444E8" w:rsidRPr="00353D66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743</w:t>
            </w:r>
          </w:p>
        </w:tc>
        <w:tc>
          <w:tcPr>
            <w:tcW w:w="482" w:type="pct"/>
          </w:tcPr>
          <w:p w:rsidR="000444E8" w:rsidRPr="007C1A69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482" w:type="pct"/>
          </w:tcPr>
          <w:p w:rsidR="000444E8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82" w:type="pct"/>
          </w:tcPr>
          <w:p w:rsidR="000444E8" w:rsidRPr="006E24BF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480" w:type="pct"/>
          </w:tcPr>
          <w:p w:rsidR="000444E8" w:rsidRPr="00B40746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302</w:t>
            </w:r>
          </w:p>
        </w:tc>
      </w:tr>
      <w:tr w:rsidR="00D00268" w:rsidRPr="00B6426B" w:rsidTr="006E24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noWrap/>
            <w:hideMark/>
          </w:tcPr>
          <w:p w:rsidR="000444E8" w:rsidRPr="001244FE" w:rsidRDefault="000444E8" w:rsidP="00E60E7C">
            <w:pPr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sz w:val="18"/>
                <w:szCs w:val="18"/>
              </w:rPr>
              <w:t>Requests received in period</w:t>
            </w:r>
          </w:p>
        </w:tc>
        <w:tc>
          <w:tcPr>
            <w:tcW w:w="482" w:type="pct"/>
            <w:noWrap/>
            <w:hideMark/>
          </w:tcPr>
          <w:p w:rsidR="000444E8" w:rsidRPr="00B6426B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6426B">
              <w:rPr>
                <w:b/>
                <w:bCs/>
                <w:color w:val="000000"/>
                <w:sz w:val="18"/>
                <w:szCs w:val="18"/>
              </w:rPr>
              <w:t>33</w:t>
            </w: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2" w:type="pct"/>
            <w:noWrap/>
            <w:hideMark/>
          </w:tcPr>
          <w:p w:rsidR="000444E8" w:rsidRPr="00B6426B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6426B">
              <w:rPr>
                <w:b/>
                <w:bCs/>
                <w:color w:val="000000"/>
                <w:sz w:val="18"/>
                <w:szCs w:val="18"/>
              </w:rPr>
              <w:t>40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81" w:type="pct"/>
          </w:tcPr>
          <w:p w:rsidR="000444E8" w:rsidRPr="00480195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8019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482" w:type="pct"/>
          </w:tcPr>
          <w:p w:rsidR="000444E8" w:rsidRPr="00353D66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745</w:t>
            </w:r>
          </w:p>
        </w:tc>
        <w:tc>
          <w:tcPr>
            <w:tcW w:w="482" w:type="pct"/>
          </w:tcPr>
          <w:p w:rsidR="000444E8" w:rsidRPr="007C1A69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82" w:type="pct"/>
          </w:tcPr>
          <w:p w:rsidR="000444E8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82" w:type="pct"/>
          </w:tcPr>
          <w:p w:rsidR="000444E8" w:rsidRPr="006E24BF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480" w:type="pct"/>
          </w:tcPr>
          <w:p w:rsidR="000444E8" w:rsidRPr="00B40746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288</w:t>
            </w:r>
          </w:p>
        </w:tc>
      </w:tr>
      <w:tr w:rsidR="000444E8" w:rsidRPr="00B6426B" w:rsidTr="006E2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noWrap/>
            <w:hideMark/>
          </w:tcPr>
          <w:p w:rsidR="000444E8" w:rsidRPr="001244FE" w:rsidRDefault="000444E8" w:rsidP="00E60E7C">
            <w:pPr>
              <w:ind w:left="426"/>
              <w:rPr>
                <w:rFonts w:asciiTheme="minorHAnsi" w:hAnsiTheme="minorHAnsi"/>
                <w:i/>
                <w:sz w:val="18"/>
                <w:szCs w:val="18"/>
              </w:rPr>
            </w:pPr>
            <w:r w:rsidRPr="001244FE">
              <w:rPr>
                <w:rFonts w:asciiTheme="minorHAnsi" w:hAnsiTheme="minorHAnsi"/>
                <w:i/>
                <w:sz w:val="18"/>
                <w:szCs w:val="18"/>
              </w:rPr>
              <w:t>Requests received by due date</w:t>
            </w:r>
          </w:p>
        </w:tc>
        <w:tc>
          <w:tcPr>
            <w:tcW w:w="482" w:type="pct"/>
            <w:noWrap/>
            <w:hideMark/>
          </w:tcPr>
          <w:p w:rsidR="000444E8" w:rsidRPr="00B6426B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B6426B">
              <w:rPr>
                <w:b/>
                <w:bCs/>
                <w:i/>
                <w:i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482" w:type="pct"/>
            <w:noWrap/>
            <w:hideMark/>
          </w:tcPr>
          <w:p w:rsidR="000444E8" w:rsidRPr="00B6426B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B6426B">
              <w:rPr>
                <w:b/>
                <w:bCs/>
                <w:i/>
                <w:iCs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81" w:type="pct"/>
          </w:tcPr>
          <w:p w:rsidR="000444E8" w:rsidRPr="00480195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480195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147</w:t>
            </w:r>
          </w:p>
        </w:tc>
        <w:tc>
          <w:tcPr>
            <w:tcW w:w="482" w:type="pct"/>
          </w:tcPr>
          <w:p w:rsidR="000444E8" w:rsidRPr="002A569E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2A569E">
              <w:rPr>
                <w:b/>
                <w:bCs/>
                <w:i/>
                <w:color w:val="000000"/>
                <w:sz w:val="18"/>
                <w:szCs w:val="18"/>
              </w:rPr>
              <w:t>695</w:t>
            </w:r>
          </w:p>
        </w:tc>
        <w:tc>
          <w:tcPr>
            <w:tcW w:w="482" w:type="pct"/>
          </w:tcPr>
          <w:p w:rsidR="000444E8" w:rsidRPr="002A569E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color w:val="000000"/>
                <w:sz w:val="18"/>
                <w:szCs w:val="18"/>
              </w:rPr>
            </w:pPr>
            <w:r w:rsidRPr="002A569E">
              <w:rPr>
                <w:bCs/>
                <w:i/>
                <w:color w:val="000000"/>
                <w:sz w:val="18"/>
                <w:szCs w:val="18"/>
              </w:rPr>
              <w:t>29</w:t>
            </w:r>
          </w:p>
        </w:tc>
        <w:tc>
          <w:tcPr>
            <w:tcW w:w="482" w:type="pct"/>
          </w:tcPr>
          <w:p w:rsidR="000444E8" w:rsidRPr="002A569E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82" w:type="pct"/>
          </w:tcPr>
          <w:p w:rsidR="000444E8" w:rsidRPr="006E24BF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139</w:t>
            </w:r>
          </w:p>
        </w:tc>
        <w:tc>
          <w:tcPr>
            <w:tcW w:w="480" w:type="pct"/>
          </w:tcPr>
          <w:p w:rsidR="000444E8" w:rsidRPr="00B40746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281</w:t>
            </w:r>
          </w:p>
        </w:tc>
      </w:tr>
      <w:tr w:rsidR="00D00268" w:rsidRPr="00B6426B" w:rsidTr="006E24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noWrap/>
            <w:hideMark/>
          </w:tcPr>
          <w:p w:rsidR="000444E8" w:rsidRPr="001244FE" w:rsidRDefault="000444E8" w:rsidP="00E60E7C">
            <w:pPr>
              <w:ind w:left="426"/>
              <w:rPr>
                <w:rFonts w:asciiTheme="minorHAnsi" w:hAnsiTheme="minorHAnsi"/>
                <w:i/>
                <w:sz w:val="18"/>
                <w:szCs w:val="18"/>
              </w:rPr>
            </w:pPr>
            <w:r w:rsidRPr="001244FE">
              <w:rPr>
                <w:rFonts w:asciiTheme="minorHAnsi" w:hAnsiTheme="minorHAnsi"/>
                <w:i/>
                <w:sz w:val="18"/>
                <w:szCs w:val="18"/>
              </w:rPr>
              <w:t>Requests received after due date</w:t>
            </w:r>
          </w:p>
        </w:tc>
        <w:tc>
          <w:tcPr>
            <w:tcW w:w="482" w:type="pct"/>
            <w:noWrap/>
            <w:hideMark/>
          </w:tcPr>
          <w:p w:rsidR="000444E8" w:rsidRPr="00B6426B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B6426B">
              <w:rPr>
                <w:b/>
                <w:bCs/>
                <w:i/>
                <w:iCs/>
                <w:color w:val="000000"/>
                <w:sz w:val="18"/>
                <w:szCs w:val="18"/>
              </w:rPr>
              <w:t>18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82" w:type="pct"/>
            <w:noWrap/>
            <w:hideMark/>
          </w:tcPr>
          <w:p w:rsidR="000444E8" w:rsidRPr="00B6426B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B6426B">
              <w:rPr>
                <w:b/>
                <w:bCs/>
                <w:i/>
                <w:iCs/>
                <w:color w:val="000000"/>
                <w:sz w:val="18"/>
                <w:szCs w:val="18"/>
              </w:rPr>
              <w:t>19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" w:type="pct"/>
          </w:tcPr>
          <w:p w:rsidR="000444E8" w:rsidRPr="00480195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480195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69</w:t>
            </w:r>
          </w:p>
        </w:tc>
        <w:tc>
          <w:tcPr>
            <w:tcW w:w="482" w:type="pct"/>
          </w:tcPr>
          <w:p w:rsidR="000444E8" w:rsidRPr="002A569E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2A569E">
              <w:rPr>
                <w:b/>
                <w:bCs/>
                <w:i/>
                <w:color w:val="000000"/>
                <w:sz w:val="18"/>
                <w:szCs w:val="18"/>
              </w:rPr>
              <w:t>50</w:t>
            </w:r>
          </w:p>
        </w:tc>
        <w:tc>
          <w:tcPr>
            <w:tcW w:w="482" w:type="pct"/>
          </w:tcPr>
          <w:p w:rsidR="000444E8" w:rsidRPr="002A569E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color w:val="000000"/>
                <w:sz w:val="18"/>
                <w:szCs w:val="18"/>
              </w:rPr>
            </w:pPr>
            <w:r w:rsidRPr="002A569E">
              <w:rPr>
                <w:bCs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482" w:type="pct"/>
          </w:tcPr>
          <w:p w:rsidR="000444E8" w:rsidRPr="002A569E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482" w:type="pct"/>
          </w:tcPr>
          <w:p w:rsidR="000444E8" w:rsidRPr="006E24BF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480" w:type="pct"/>
          </w:tcPr>
          <w:p w:rsidR="000444E8" w:rsidRPr="00B40746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7</w:t>
            </w:r>
          </w:p>
        </w:tc>
      </w:tr>
      <w:tr w:rsidR="000444E8" w:rsidRPr="00B6426B" w:rsidTr="006E2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noWrap/>
          </w:tcPr>
          <w:p w:rsidR="000444E8" w:rsidRPr="001244FE" w:rsidRDefault="000444E8" w:rsidP="00E60E7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Percentage late</w:t>
            </w:r>
          </w:p>
        </w:tc>
        <w:tc>
          <w:tcPr>
            <w:tcW w:w="482" w:type="pct"/>
            <w:noWrap/>
          </w:tcPr>
          <w:p w:rsidR="000444E8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55.1</w:t>
            </w:r>
          </w:p>
        </w:tc>
        <w:tc>
          <w:tcPr>
            <w:tcW w:w="482" w:type="pct"/>
            <w:noWrap/>
          </w:tcPr>
          <w:p w:rsidR="000444E8" w:rsidRPr="00B6426B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47.8</w:t>
            </w:r>
          </w:p>
        </w:tc>
        <w:tc>
          <w:tcPr>
            <w:tcW w:w="481" w:type="pct"/>
          </w:tcPr>
          <w:p w:rsidR="000444E8" w:rsidRPr="00480195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31.9</w:t>
            </w:r>
          </w:p>
        </w:tc>
        <w:tc>
          <w:tcPr>
            <w:tcW w:w="482" w:type="pct"/>
          </w:tcPr>
          <w:p w:rsidR="000444E8" w:rsidRPr="00353D66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6.7</w:t>
            </w:r>
          </w:p>
        </w:tc>
        <w:tc>
          <w:tcPr>
            <w:tcW w:w="482" w:type="pct"/>
          </w:tcPr>
          <w:p w:rsidR="000444E8" w:rsidRPr="007C1A69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3.3</w:t>
            </w:r>
          </w:p>
        </w:tc>
        <w:tc>
          <w:tcPr>
            <w:tcW w:w="482" w:type="pct"/>
          </w:tcPr>
          <w:p w:rsidR="000444E8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1.8</w:t>
            </w:r>
          </w:p>
        </w:tc>
        <w:tc>
          <w:tcPr>
            <w:tcW w:w="482" w:type="pct"/>
          </w:tcPr>
          <w:p w:rsidR="000444E8" w:rsidRPr="006E24BF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2.8</w:t>
            </w:r>
          </w:p>
        </w:tc>
        <w:tc>
          <w:tcPr>
            <w:tcW w:w="480" w:type="pct"/>
          </w:tcPr>
          <w:p w:rsidR="000444E8" w:rsidRPr="00B40746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2.4</w:t>
            </w:r>
          </w:p>
        </w:tc>
      </w:tr>
      <w:tr w:rsidR="00D00268" w:rsidRPr="00B6426B" w:rsidTr="006E24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noWrap/>
            <w:hideMark/>
          </w:tcPr>
          <w:p w:rsidR="000444E8" w:rsidRPr="001244FE" w:rsidRDefault="000444E8" w:rsidP="00E60E7C">
            <w:pPr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sz w:val="18"/>
                <w:szCs w:val="18"/>
              </w:rPr>
              <w:t>Average time taken to respond (business days)</w:t>
            </w:r>
          </w:p>
        </w:tc>
        <w:tc>
          <w:tcPr>
            <w:tcW w:w="482" w:type="pct"/>
            <w:noWrap/>
            <w:hideMark/>
          </w:tcPr>
          <w:p w:rsidR="000444E8" w:rsidRPr="00B6426B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482" w:type="pct"/>
            <w:noWrap/>
            <w:hideMark/>
          </w:tcPr>
          <w:p w:rsidR="000444E8" w:rsidRPr="00B6426B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6426B">
              <w:rPr>
                <w:b/>
                <w:bCs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481" w:type="pct"/>
          </w:tcPr>
          <w:p w:rsidR="000444E8" w:rsidRPr="00480195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8019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13.5</w:t>
            </w:r>
          </w:p>
        </w:tc>
        <w:tc>
          <w:tcPr>
            <w:tcW w:w="482" w:type="pct"/>
          </w:tcPr>
          <w:p w:rsidR="000444E8" w:rsidRPr="00353D66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482" w:type="pct"/>
          </w:tcPr>
          <w:p w:rsidR="000444E8" w:rsidRPr="007C1A69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482" w:type="pct"/>
          </w:tcPr>
          <w:p w:rsidR="000444E8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5.1</w:t>
            </w:r>
          </w:p>
        </w:tc>
        <w:tc>
          <w:tcPr>
            <w:tcW w:w="482" w:type="pct"/>
          </w:tcPr>
          <w:p w:rsidR="000444E8" w:rsidRPr="006E24BF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80" w:type="pct"/>
          </w:tcPr>
          <w:p w:rsidR="000444E8" w:rsidRPr="00B40746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7.7</w:t>
            </w:r>
          </w:p>
        </w:tc>
      </w:tr>
      <w:tr w:rsidR="000444E8" w:rsidRPr="00B6426B" w:rsidTr="006E2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noWrap/>
            <w:hideMark/>
          </w:tcPr>
          <w:p w:rsidR="000444E8" w:rsidRPr="001244FE" w:rsidRDefault="000444E8" w:rsidP="00E60E7C">
            <w:pPr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sz w:val="18"/>
                <w:szCs w:val="18"/>
              </w:rPr>
              <w:t>Average punctuality (business days late)</w:t>
            </w:r>
          </w:p>
        </w:tc>
        <w:tc>
          <w:tcPr>
            <w:tcW w:w="482" w:type="pct"/>
            <w:noWrap/>
            <w:hideMark/>
          </w:tcPr>
          <w:p w:rsidR="000444E8" w:rsidRPr="00B6426B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3.0</w:t>
            </w:r>
          </w:p>
        </w:tc>
        <w:tc>
          <w:tcPr>
            <w:tcW w:w="482" w:type="pct"/>
            <w:noWrap/>
            <w:hideMark/>
          </w:tcPr>
          <w:p w:rsidR="000444E8" w:rsidRPr="00B6426B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6426B">
              <w:rPr>
                <w:b/>
                <w:b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481" w:type="pct"/>
          </w:tcPr>
          <w:p w:rsidR="000444E8" w:rsidRPr="00480195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8019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2.9</w:t>
            </w:r>
          </w:p>
        </w:tc>
        <w:tc>
          <w:tcPr>
            <w:tcW w:w="482" w:type="pct"/>
          </w:tcPr>
          <w:p w:rsidR="000444E8" w:rsidRPr="00353D66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353D66"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82" w:type="pct"/>
          </w:tcPr>
          <w:p w:rsidR="000444E8" w:rsidRPr="007C1A69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-2.5</w:t>
            </w:r>
          </w:p>
        </w:tc>
        <w:tc>
          <w:tcPr>
            <w:tcW w:w="482" w:type="pct"/>
          </w:tcPr>
          <w:p w:rsidR="000444E8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-4.6</w:t>
            </w:r>
          </w:p>
        </w:tc>
        <w:tc>
          <w:tcPr>
            <w:tcW w:w="482" w:type="pct"/>
          </w:tcPr>
          <w:p w:rsidR="000444E8" w:rsidRPr="006E24BF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480" w:type="pct"/>
          </w:tcPr>
          <w:p w:rsidR="000444E8" w:rsidRPr="00B40746" w:rsidRDefault="00044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B40746"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color w:val="000000"/>
                <w:sz w:val="18"/>
                <w:szCs w:val="18"/>
              </w:rPr>
              <w:t>2.2</w:t>
            </w:r>
          </w:p>
        </w:tc>
      </w:tr>
      <w:tr w:rsidR="00D00268" w:rsidRPr="00B6426B" w:rsidTr="006E24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noWrap/>
            <w:hideMark/>
          </w:tcPr>
          <w:p w:rsidR="000444E8" w:rsidRPr="001244FE" w:rsidRDefault="000444E8" w:rsidP="00E60E7C">
            <w:pPr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sz w:val="18"/>
                <w:szCs w:val="18"/>
              </w:rPr>
              <w:t>Average lateness of late requests (business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1244FE">
              <w:rPr>
                <w:rFonts w:asciiTheme="minorHAnsi" w:hAnsiTheme="minorHAnsi"/>
                <w:sz w:val="18"/>
                <w:szCs w:val="18"/>
              </w:rPr>
              <w:t>days)</w:t>
            </w:r>
          </w:p>
        </w:tc>
        <w:tc>
          <w:tcPr>
            <w:tcW w:w="482" w:type="pct"/>
            <w:noWrap/>
            <w:hideMark/>
          </w:tcPr>
          <w:p w:rsidR="000444E8" w:rsidRPr="00B6426B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6426B">
              <w:rPr>
                <w:b/>
                <w:b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482" w:type="pct"/>
            <w:noWrap/>
            <w:hideMark/>
          </w:tcPr>
          <w:p w:rsidR="000444E8" w:rsidRPr="00B6426B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6426B">
              <w:rPr>
                <w:b/>
                <w:bCs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481" w:type="pct"/>
          </w:tcPr>
          <w:p w:rsidR="000444E8" w:rsidRPr="00480195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8019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11.2</w:t>
            </w:r>
          </w:p>
        </w:tc>
        <w:tc>
          <w:tcPr>
            <w:tcW w:w="482" w:type="pct"/>
          </w:tcPr>
          <w:p w:rsidR="000444E8" w:rsidRPr="00353D66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3.5</w:t>
            </w:r>
          </w:p>
        </w:tc>
        <w:tc>
          <w:tcPr>
            <w:tcW w:w="482" w:type="pct"/>
          </w:tcPr>
          <w:p w:rsidR="000444E8" w:rsidRPr="007C1A69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1.0</w:t>
            </w:r>
          </w:p>
        </w:tc>
        <w:tc>
          <w:tcPr>
            <w:tcW w:w="482" w:type="pct"/>
          </w:tcPr>
          <w:p w:rsidR="000444E8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1.0</w:t>
            </w:r>
          </w:p>
        </w:tc>
        <w:tc>
          <w:tcPr>
            <w:tcW w:w="482" w:type="pct"/>
          </w:tcPr>
          <w:p w:rsidR="000444E8" w:rsidRPr="006E24BF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4.5</w:t>
            </w:r>
          </w:p>
        </w:tc>
        <w:tc>
          <w:tcPr>
            <w:tcW w:w="480" w:type="pct"/>
          </w:tcPr>
          <w:p w:rsidR="000444E8" w:rsidRPr="00B40746" w:rsidRDefault="000444E8" w:rsidP="00E60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3.0</w:t>
            </w:r>
          </w:p>
        </w:tc>
      </w:tr>
      <w:tr w:rsidR="000444E8" w:rsidRPr="00B6426B" w:rsidTr="006E2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noWrap/>
            <w:hideMark/>
          </w:tcPr>
          <w:p w:rsidR="000444E8" w:rsidRPr="001244FE" w:rsidRDefault="000444E8" w:rsidP="00E60E7C">
            <w:pPr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sz w:val="18"/>
                <w:szCs w:val="18"/>
              </w:rPr>
              <w:t>Requests outstanding at end of period</w:t>
            </w:r>
          </w:p>
        </w:tc>
        <w:tc>
          <w:tcPr>
            <w:tcW w:w="482" w:type="pct"/>
            <w:noWrap/>
            <w:hideMark/>
          </w:tcPr>
          <w:p w:rsidR="000444E8" w:rsidRPr="00B6426B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6426B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82" w:type="pct"/>
            <w:noWrap/>
            <w:hideMark/>
          </w:tcPr>
          <w:p w:rsidR="000444E8" w:rsidRPr="00B6426B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6426B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1" w:type="pct"/>
          </w:tcPr>
          <w:p w:rsidR="000444E8" w:rsidRPr="00480195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8019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2" w:type="pct"/>
          </w:tcPr>
          <w:p w:rsidR="000444E8" w:rsidRPr="00353D66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353D6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2" w:type="pct"/>
          </w:tcPr>
          <w:p w:rsidR="000444E8" w:rsidRPr="007C1A69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82" w:type="pct"/>
          </w:tcPr>
          <w:p w:rsidR="000444E8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482" w:type="pct"/>
          </w:tcPr>
          <w:p w:rsidR="000444E8" w:rsidRPr="006E24BF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0" w:type="pct"/>
          </w:tcPr>
          <w:p w:rsidR="000444E8" w:rsidRPr="00B40746" w:rsidRDefault="000444E8" w:rsidP="00E60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</w:tbl>
    <w:p w:rsidR="007432E3" w:rsidRPr="00543268" w:rsidRDefault="007432E3" w:rsidP="00E60E7C">
      <w:pPr>
        <w:pStyle w:val="PBOtext"/>
        <w:spacing w:before="340"/>
      </w:pPr>
      <w:r>
        <w:t>As at</w:t>
      </w:r>
      <w:r w:rsidR="00BB03B4">
        <w:t xml:space="preserve"> </w:t>
      </w:r>
      <w:r w:rsidR="00E60E7C">
        <w:t>31</w:t>
      </w:r>
      <w:r w:rsidR="00DC430D">
        <w:t xml:space="preserve"> March 2017</w:t>
      </w:r>
      <w:r w:rsidRPr="00A87BFA">
        <w:t xml:space="preserve">, </w:t>
      </w:r>
      <w:r w:rsidRPr="00C5760A">
        <w:t>no</w:t>
      </w:r>
      <w:r>
        <w:t xml:space="preserve"> requests were overdue.</w:t>
      </w:r>
    </w:p>
    <w:p w:rsidR="007432E3" w:rsidRDefault="007432E3" w:rsidP="00E60E7C">
      <w:pPr>
        <w:pStyle w:val="Caption"/>
        <w:keepNext w:val="0"/>
        <w:spacing w:before="340" w:after="114" w:line="250" w:lineRule="atLeast"/>
        <w:jc w:val="left"/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</w:pPr>
      <w:r w:rsidRP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Figure 2: </w:t>
      </w:r>
      <w:r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Agencies’</w:t>
      </w:r>
      <w:r w:rsidRP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 response time</w:t>
      </w:r>
      <w:r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s</w:t>
      </w:r>
      <w:r w:rsidRP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 for completed information requests</w:t>
      </w:r>
      <w:r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 in </w:t>
      </w:r>
      <w:r w:rsidR="005B0A14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2016</w:t>
      </w:r>
      <w:r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–</w:t>
      </w:r>
      <w:r w:rsidR="005B0A14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17 </w:t>
      </w:r>
      <w:r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to </w:t>
      </w:r>
      <w:r w:rsidR="00AA5AD6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31</w:t>
      </w:r>
      <w:r w:rsidR="003C319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 </w:t>
      </w:r>
      <w:r w:rsidR="00DC430D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March 2017</w:t>
      </w:r>
    </w:p>
    <w:p w:rsidR="00A523DC" w:rsidRPr="00A523DC" w:rsidRDefault="000444E8" w:rsidP="00E60E7C">
      <w:r>
        <w:rPr>
          <w:noProof/>
          <w:lang w:eastAsia="en-AU"/>
        </w:rPr>
        <w:drawing>
          <wp:inline distT="0" distB="0" distL="0" distR="0" wp14:anchorId="530F35BE" wp14:editId="098D991C">
            <wp:extent cx="5731510" cy="2460998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6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3DC" w:rsidRDefault="007432E3" w:rsidP="00E60E7C">
      <w:pPr>
        <w:pStyle w:val="Caption"/>
        <w:keepLines w:val="0"/>
        <w:spacing w:before="340" w:after="114" w:line="250" w:lineRule="atLeast"/>
        <w:jc w:val="left"/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</w:pPr>
      <w:r w:rsidRP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lastRenderedPageBreak/>
        <w:t xml:space="preserve">Figure 3: Timeliness of response by </w:t>
      </w:r>
      <w:r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agencies </w:t>
      </w:r>
      <w:r w:rsidRPr="000F5570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val="en-US" w:eastAsia="en-US"/>
        </w:rPr>
        <w:t>to infor</w:t>
      </w:r>
      <w:r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val="en-US" w:eastAsia="en-US"/>
        </w:rPr>
        <w:t>mation requests in 201</w:t>
      </w:r>
      <w:r w:rsidR="005B0A14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val="en-US" w:eastAsia="en-US"/>
        </w:rPr>
        <w:t>6</w:t>
      </w:r>
      <w:r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val="en-US" w:eastAsia="en-US"/>
        </w:rPr>
        <w:t>–1</w:t>
      </w:r>
      <w:r w:rsidR="005B0A14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val="en-US" w:eastAsia="en-US"/>
        </w:rPr>
        <w:t>7</w:t>
      </w:r>
      <w:r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val="en-US" w:eastAsia="en-US"/>
        </w:rPr>
        <w:t xml:space="preserve"> to </w:t>
      </w:r>
      <w:r w:rsidR="003C319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3</w:t>
      </w:r>
      <w:r w:rsidR="00AA5AD6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1</w:t>
      </w:r>
      <w:r w:rsidR="003C319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 </w:t>
      </w:r>
      <w:r w:rsidR="00DC430D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March 2017</w:t>
      </w:r>
    </w:p>
    <w:p w:rsidR="007432E3" w:rsidRPr="0046029E" w:rsidRDefault="000444E8" w:rsidP="00623619">
      <w:pPr>
        <w:pStyle w:val="PBOtext"/>
        <w:rPr>
          <w:sz w:val="18"/>
          <w:szCs w:val="18"/>
        </w:rPr>
      </w:pPr>
      <w:r>
        <w:rPr>
          <w:noProof/>
        </w:rPr>
        <w:drawing>
          <wp:inline distT="0" distB="0" distL="0" distR="0" wp14:anchorId="18378DE8" wp14:editId="264BC2BE">
            <wp:extent cx="5731510" cy="2586528"/>
            <wp:effectExtent l="0" t="0" r="254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029E">
        <w:rPr>
          <w:sz w:val="18"/>
          <w:szCs w:val="18"/>
        </w:rPr>
        <w:t xml:space="preserve">Note:  </w:t>
      </w:r>
      <w:r w:rsidR="007432E3" w:rsidRPr="0046029E">
        <w:rPr>
          <w:sz w:val="18"/>
          <w:szCs w:val="18"/>
        </w:rPr>
        <w:t>‘On time’ responses include responses provided before the due date.</w:t>
      </w:r>
    </w:p>
    <w:p w:rsidR="007432E3" w:rsidRPr="00AD58FE" w:rsidRDefault="007432E3" w:rsidP="00E60E7C">
      <w:pPr>
        <w:pStyle w:val="PBOtext"/>
        <w:spacing w:before="340"/>
      </w:pPr>
    </w:p>
    <w:p w:rsidR="007432E3" w:rsidRPr="00AD58FE" w:rsidRDefault="007432E3" w:rsidP="00E60E7C">
      <w:pPr>
        <w:pStyle w:val="PBOtext"/>
        <w:spacing w:before="340"/>
        <w:sectPr w:rsidR="007432E3" w:rsidRPr="00AD58FE" w:rsidSect="008F298A">
          <w:footerReference w:type="default" r:id="rId13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:rsidR="007432E3" w:rsidRDefault="007432E3" w:rsidP="00E60E7C">
      <w:pPr>
        <w:pStyle w:val="Caption"/>
        <w:spacing w:before="340" w:after="114" w:line="250" w:lineRule="atLeast"/>
        <w:jc w:val="left"/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</w:pPr>
      <w:r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lastRenderedPageBreak/>
        <w:t>Table 3</w:t>
      </w:r>
      <w:r w:rsidRP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: </w:t>
      </w:r>
      <w:r w:rsidRPr="00B95846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Information </w:t>
      </w:r>
      <w:r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r</w:t>
      </w:r>
      <w:r w:rsidRPr="00B95846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equest responsiveness </w:t>
      </w:r>
      <w:r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by agencies in </w:t>
      </w:r>
      <w:r w:rsidR="00357D9F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2016</w:t>
      </w:r>
      <w:r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–</w:t>
      </w:r>
      <w:r w:rsidR="00357D9F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17</w:t>
      </w:r>
      <w:r w:rsidR="00357D9F" w:rsidRPr="00B95846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 </w:t>
      </w:r>
      <w:r w:rsidRPr="00B95846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to</w:t>
      </w:r>
      <w:r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val="en-US" w:eastAsia="en-US"/>
        </w:rPr>
        <w:t xml:space="preserve"> </w:t>
      </w:r>
      <w:r w:rsidR="003C319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3</w:t>
      </w:r>
      <w:r w:rsidR="00C3772D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1</w:t>
      </w:r>
      <w:r w:rsidR="003C319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 </w:t>
      </w:r>
      <w:r w:rsidR="00DC430D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March 2017</w:t>
      </w:r>
    </w:p>
    <w:p w:rsidR="00754AE3" w:rsidRPr="00754AE3" w:rsidRDefault="008462F0" w:rsidP="00E60E7C">
      <w:r>
        <w:rPr>
          <w:noProof/>
          <w:lang w:eastAsia="en-AU"/>
        </w:rPr>
        <w:drawing>
          <wp:inline distT="0" distB="0" distL="0" distR="0" wp14:anchorId="437AB51C" wp14:editId="5582D4F4">
            <wp:extent cx="8298611" cy="4690134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307202" cy="469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2E3" w:rsidRDefault="007432E3" w:rsidP="00E60E7C">
      <w:pPr>
        <w:keepNext/>
        <w:keepLines/>
        <w:tabs>
          <w:tab w:val="left" w:pos="142"/>
        </w:tabs>
        <w:spacing w:after="120"/>
      </w:pPr>
      <w:r w:rsidRPr="005E4E21">
        <w:rPr>
          <w:rFonts w:asciiTheme="minorHAnsi" w:hAnsiTheme="minorHAnsi"/>
          <w:sz w:val="16"/>
          <w:vertAlign w:val="superscript"/>
        </w:rPr>
        <w:t>1</w:t>
      </w:r>
      <w:r w:rsidR="009837E2">
        <w:rPr>
          <w:rFonts w:asciiTheme="minorHAnsi" w:hAnsiTheme="minorHAnsi"/>
          <w:sz w:val="16"/>
        </w:rPr>
        <w:tab/>
      </w:r>
      <w:r w:rsidRPr="005E4E21">
        <w:rPr>
          <w:rFonts w:asciiTheme="minorHAnsi" w:hAnsiTheme="minorHAnsi"/>
          <w:sz w:val="16"/>
        </w:rPr>
        <w:t xml:space="preserve">Includes </w:t>
      </w:r>
      <w:r w:rsidR="005B0A14">
        <w:rPr>
          <w:rFonts w:asciiTheme="minorHAnsi" w:hAnsiTheme="minorHAnsi"/>
          <w:sz w:val="16"/>
        </w:rPr>
        <w:t>one</w:t>
      </w:r>
      <w:r w:rsidR="005B0A14" w:rsidRPr="005E4E21">
        <w:rPr>
          <w:rFonts w:asciiTheme="minorHAnsi" w:hAnsiTheme="minorHAnsi"/>
          <w:sz w:val="16"/>
        </w:rPr>
        <w:t xml:space="preserve"> </w:t>
      </w:r>
      <w:r w:rsidRPr="005E4E21">
        <w:rPr>
          <w:rFonts w:asciiTheme="minorHAnsi" w:hAnsiTheme="minorHAnsi"/>
          <w:sz w:val="16"/>
        </w:rPr>
        <w:t xml:space="preserve">outstanding request as at 30 </w:t>
      </w:r>
      <w:r>
        <w:rPr>
          <w:rFonts w:asciiTheme="minorHAnsi" w:hAnsiTheme="minorHAnsi"/>
          <w:sz w:val="16"/>
        </w:rPr>
        <w:t>June</w:t>
      </w:r>
      <w:r w:rsidRPr="005E4E21">
        <w:rPr>
          <w:rFonts w:asciiTheme="minorHAnsi" w:hAnsiTheme="minorHAnsi"/>
          <w:sz w:val="16"/>
        </w:rPr>
        <w:t xml:space="preserve"> </w:t>
      </w:r>
      <w:r w:rsidR="005B0A14" w:rsidRPr="005E4E21">
        <w:rPr>
          <w:rFonts w:asciiTheme="minorHAnsi" w:hAnsiTheme="minorHAnsi"/>
          <w:sz w:val="16"/>
        </w:rPr>
        <w:t>201</w:t>
      </w:r>
      <w:r w:rsidR="005B0A14">
        <w:rPr>
          <w:rFonts w:asciiTheme="minorHAnsi" w:hAnsiTheme="minorHAnsi"/>
          <w:sz w:val="16"/>
        </w:rPr>
        <w:t>6</w:t>
      </w:r>
      <w:r w:rsidR="005B0A14" w:rsidRPr="005E4E21">
        <w:rPr>
          <w:rFonts w:asciiTheme="minorHAnsi" w:hAnsiTheme="minorHAnsi"/>
          <w:sz w:val="16"/>
        </w:rPr>
        <w:t xml:space="preserve"> </w:t>
      </w:r>
      <w:r w:rsidRPr="005E4E21">
        <w:rPr>
          <w:rFonts w:asciiTheme="minorHAnsi" w:hAnsiTheme="minorHAnsi"/>
          <w:sz w:val="16"/>
        </w:rPr>
        <w:t xml:space="preserve">carried over </w:t>
      </w:r>
      <w:r>
        <w:rPr>
          <w:rFonts w:asciiTheme="minorHAnsi" w:hAnsiTheme="minorHAnsi"/>
          <w:sz w:val="16"/>
        </w:rPr>
        <w:t>to 201</w:t>
      </w:r>
      <w:r w:rsidR="005B0A14">
        <w:rPr>
          <w:rFonts w:asciiTheme="minorHAnsi" w:hAnsiTheme="minorHAnsi"/>
          <w:sz w:val="16"/>
        </w:rPr>
        <w:t>6</w:t>
      </w:r>
      <w:r>
        <w:rPr>
          <w:rFonts w:asciiTheme="minorHAnsi" w:hAnsiTheme="minorHAnsi"/>
          <w:sz w:val="16"/>
        </w:rPr>
        <w:t>–1</w:t>
      </w:r>
      <w:r w:rsidR="005B0A14">
        <w:rPr>
          <w:rFonts w:asciiTheme="minorHAnsi" w:hAnsiTheme="minorHAnsi"/>
          <w:sz w:val="16"/>
        </w:rPr>
        <w:t>7</w:t>
      </w:r>
      <w:r>
        <w:rPr>
          <w:rFonts w:asciiTheme="minorHAnsi" w:hAnsiTheme="minorHAnsi"/>
          <w:sz w:val="16"/>
        </w:rPr>
        <w:t>.</w:t>
      </w:r>
    </w:p>
    <w:p w:rsidR="00C1317A" w:rsidRDefault="00C1317A" w:rsidP="00E60E7C">
      <w:pPr>
        <w:keepNext/>
        <w:keepLines/>
        <w:tabs>
          <w:tab w:val="left" w:pos="142"/>
        </w:tabs>
        <w:spacing w:after="120"/>
        <w:rPr>
          <w:rFonts w:asciiTheme="minorHAnsi" w:hAnsiTheme="minorHAnsi"/>
          <w:sz w:val="16"/>
        </w:rPr>
      </w:pPr>
    </w:p>
    <w:p w:rsidR="003553BD" w:rsidRPr="007C1434" w:rsidRDefault="003553BD" w:rsidP="00E60E7C">
      <w:pPr>
        <w:keepNext/>
        <w:keepLines/>
        <w:tabs>
          <w:tab w:val="left" w:pos="142"/>
        </w:tabs>
        <w:spacing w:after="120"/>
        <w:rPr>
          <w:rFonts w:asciiTheme="minorHAnsi" w:hAnsiTheme="minorHAnsi"/>
          <w:sz w:val="16"/>
        </w:rPr>
        <w:sectPr w:rsidR="003553BD" w:rsidRPr="007C1434" w:rsidSect="00A734A7">
          <w:footerReference w:type="default" r:id="rId15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9A5648" w:rsidRDefault="00AA3A52" w:rsidP="00E60E7C">
      <w:pPr>
        <w:pStyle w:val="PBOheading1"/>
      </w:pPr>
      <w:r>
        <w:lastRenderedPageBreak/>
        <w:t xml:space="preserve">PBO staff by function and </w:t>
      </w:r>
      <w:r w:rsidR="00E8002B">
        <w:t>employment level</w:t>
      </w:r>
    </w:p>
    <w:p w:rsidR="000743AC" w:rsidRDefault="00543268" w:rsidP="00E60E7C">
      <w:pPr>
        <w:pStyle w:val="Caption"/>
        <w:keepLines w:val="0"/>
        <w:spacing w:before="340" w:after="114" w:line="250" w:lineRule="atLeast"/>
        <w:jc w:val="left"/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</w:pPr>
      <w:r w:rsidRP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Table </w:t>
      </w:r>
      <w:r w:rsidR="00D90430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4</w:t>
      </w:r>
      <w:r w:rsidRP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: PBO staff by function and employment level as at </w:t>
      </w:r>
      <w:r w:rsidR="00E60E7C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31 </w:t>
      </w:r>
      <w:r w:rsidR="00DC430D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March 2017</w:t>
      </w:r>
    </w:p>
    <w:tbl>
      <w:tblPr>
        <w:tblStyle w:val="PBOtable"/>
        <w:tblW w:w="9322" w:type="dxa"/>
        <w:tblLayout w:type="fixed"/>
        <w:tblLook w:val="04A0" w:firstRow="1" w:lastRow="0" w:firstColumn="1" w:lastColumn="0" w:noHBand="0" w:noVBand="1"/>
      </w:tblPr>
      <w:tblGrid>
        <w:gridCol w:w="3510"/>
        <w:gridCol w:w="1162"/>
        <w:gridCol w:w="1162"/>
        <w:gridCol w:w="1163"/>
        <w:gridCol w:w="1162"/>
        <w:gridCol w:w="1163"/>
      </w:tblGrid>
      <w:tr w:rsidR="00743ECF" w:rsidRPr="00743ECF" w:rsidTr="00AD0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2B3B5F"/>
            <w:noWrap/>
            <w:hideMark/>
          </w:tcPr>
          <w:p w:rsidR="00743ECF" w:rsidRPr="00743ECF" w:rsidRDefault="00743ECF" w:rsidP="00E60E7C">
            <w:pPr>
              <w:jc w:val="left"/>
              <w:rPr>
                <w:rFonts w:eastAsia="Times New Roman"/>
                <w:bCs/>
                <w:color w:val="FFFFFF"/>
                <w:szCs w:val="18"/>
              </w:rPr>
            </w:pPr>
            <w:r w:rsidRPr="00743ECF">
              <w:rPr>
                <w:rFonts w:eastAsia="Times New Roman"/>
                <w:bCs/>
                <w:color w:val="FFFFFF"/>
                <w:szCs w:val="18"/>
              </w:rPr>
              <w:t>Classification</w:t>
            </w:r>
          </w:p>
        </w:tc>
        <w:tc>
          <w:tcPr>
            <w:tcW w:w="1162" w:type="dxa"/>
            <w:shd w:val="clear" w:color="auto" w:fill="2B3B5F"/>
            <w:hideMark/>
          </w:tcPr>
          <w:p w:rsidR="00743ECF" w:rsidRPr="00743ECF" w:rsidRDefault="00743ECF" w:rsidP="00E60E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FFFFFF"/>
                <w:szCs w:val="18"/>
              </w:rPr>
            </w:pPr>
            <w:r w:rsidRPr="00743ECF">
              <w:rPr>
                <w:rFonts w:eastAsia="Times New Roman"/>
                <w:bCs/>
                <w:color w:val="FFFFFF"/>
                <w:szCs w:val="18"/>
              </w:rPr>
              <w:t>PBO Executive</w:t>
            </w:r>
          </w:p>
        </w:tc>
        <w:tc>
          <w:tcPr>
            <w:tcW w:w="1162" w:type="dxa"/>
            <w:shd w:val="clear" w:color="auto" w:fill="2B3B5F"/>
            <w:hideMark/>
          </w:tcPr>
          <w:p w:rsidR="00743ECF" w:rsidRPr="00743ECF" w:rsidRDefault="00743ECF" w:rsidP="00E60E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FFFFFF"/>
                <w:szCs w:val="18"/>
              </w:rPr>
            </w:pPr>
            <w:r w:rsidRPr="00743ECF">
              <w:rPr>
                <w:rFonts w:eastAsia="Times New Roman"/>
                <w:bCs/>
                <w:color w:val="FFFFFF"/>
                <w:szCs w:val="18"/>
              </w:rPr>
              <w:t>Budget Analysis Division</w:t>
            </w:r>
          </w:p>
        </w:tc>
        <w:tc>
          <w:tcPr>
            <w:tcW w:w="1163" w:type="dxa"/>
            <w:shd w:val="clear" w:color="auto" w:fill="2B3B5F"/>
            <w:hideMark/>
          </w:tcPr>
          <w:p w:rsidR="00743ECF" w:rsidRPr="00743ECF" w:rsidRDefault="00743ECF" w:rsidP="00E60E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FFFFFF"/>
                <w:szCs w:val="18"/>
              </w:rPr>
            </w:pPr>
            <w:r w:rsidRPr="00743ECF">
              <w:rPr>
                <w:rFonts w:eastAsia="Times New Roman"/>
                <w:bCs/>
                <w:color w:val="FFFFFF"/>
                <w:szCs w:val="18"/>
              </w:rPr>
              <w:t>Fiscal Policy Analysis Division</w:t>
            </w:r>
          </w:p>
        </w:tc>
        <w:tc>
          <w:tcPr>
            <w:tcW w:w="1162" w:type="dxa"/>
            <w:shd w:val="clear" w:color="auto" w:fill="2B3B5F"/>
            <w:hideMark/>
          </w:tcPr>
          <w:p w:rsidR="00743ECF" w:rsidRPr="00743ECF" w:rsidRDefault="00743ECF" w:rsidP="00E60E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FFFFFF"/>
                <w:szCs w:val="18"/>
              </w:rPr>
            </w:pPr>
            <w:r w:rsidRPr="00743ECF">
              <w:rPr>
                <w:rFonts w:eastAsia="Times New Roman"/>
                <w:bCs/>
                <w:color w:val="FFFFFF"/>
                <w:szCs w:val="18"/>
              </w:rPr>
              <w:t>Corporate Strategy Branch</w:t>
            </w:r>
          </w:p>
        </w:tc>
        <w:tc>
          <w:tcPr>
            <w:tcW w:w="1163" w:type="dxa"/>
            <w:shd w:val="clear" w:color="auto" w:fill="2B3B5F"/>
            <w:hideMark/>
          </w:tcPr>
          <w:p w:rsidR="00743ECF" w:rsidRPr="00743ECF" w:rsidRDefault="00743ECF" w:rsidP="00D873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FFFFFF"/>
                <w:szCs w:val="18"/>
              </w:rPr>
            </w:pPr>
            <w:r w:rsidRPr="00743ECF">
              <w:rPr>
                <w:rFonts w:eastAsia="Times New Roman"/>
                <w:bCs/>
                <w:color w:val="FFFFFF"/>
                <w:szCs w:val="18"/>
              </w:rPr>
              <w:t>Total</w:t>
            </w:r>
          </w:p>
        </w:tc>
      </w:tr>
      <w:tr w:rsidR="00743ECF" w:rsidRPr="00743ECF" w:rsidTr="00B56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743ECF" w:rsidRPr="00A01C65" w:rsidRDefault="00743ECF" w:rsidP="00E60E7C">
            <w:pPr>
              <w:rPr>
                <w:rFonts w:eastAsia="Times New Roman"/>
                <w:b w:val="0"/>
                <w:color w:val="000000"/>
                <w:szCs w:val="18"/>
              </w:rPr>
            </w:pPr>
            <w:r w:rsidRPr="00A01C65">
              <w:rPr>
                <w:rFonts w:eastAsia="Times New Roman"/>
                <w:b w:val="0"/>
                <w:color w:val="000000"/>
                <w:szCs w:val="18"/>
              </w:rPr>
              <w:t>Parliamentary Budget Officer (PBO)</w:t>
            </w:r>
          </w:p>
        </w:tc>
        <w:tc>
          <w:tcPr>
            <w:tcW w:w="1162" w:type="dxa"/>
            <w:noWrap/>
          </w:tcPr>
          <w:p w:rsidR="00743ECF" w:rsidRPr="00743ECF" w:rsidRDefault="00140695" w:rsidP="00E60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1</w:t>
            </w:r>
          </w:p>
        </w:tc>
        <w:tc>
          <w:tcPr>
            <w:tcW w:w="1162" w:type="dxa"/>
            <w:noWrap/>
          </w:tcPr>
          <w:p w:rsidR="00743ECF" w:rsidRPr="00743ECF" w:rsidRDefault="00644CCF" w:rsidP="00E60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-</w:t>
            </w:r>
          </w:p>
        </w:tc>
        <w:tc>
          <w:tcPr>
            <w:tcW w:w="1163" w:type="dxa"/>
            <w:noWrap/>
          </w:tcPr>
          <w:p w:rsidR="00743ECF" w:rsidRPr="00743ECF" w:rsidRDefault="00644CCF" w:rsidP="00E60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-</w:t>
            </w:r>
          </w:p>
        </w:tc>
        <w:tc>
          <w:tcPr>
            <w:tcW w:w="1162" w:type="dxa"/>
            <w:noWrap/>
          </w:tcPr>
          <w:p w:rsidR="00743ECF" w:rsidRPr="00743ECF" w:rsidRDefault="00644CCF" w:rsidP="00E60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-</w:t>
            </w:r>
          </w:p>
        </w:tc>
        <w:tc>
          <w:tcPr>
            <w:tcW w:w="1163" w:type="dxa"/>
            <w:noWrap/>
          </w:tcPr>
          <w:p w:rsidR="00743ECF" w:rsidRPr="00743ECF" w:rsidRDefault="00140695" w:rsidP="00E60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Cs w:val="18"/>
              </w:rPr>
              <w:t>1</w:t>
            </w:r>
          </w:p>
        </w:tc>
      </w:tr>
      <w:tr w:rsidR="00743ECF" w:rsidRPr="00743ECF" w:rsidTr="00B56F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743ECF" w:rsidRPr="00A01C65" w:rsidRDefault="00743ECF" w:rsidP="00E60E7C">
            <w:pPr>
              <w:rPr>
                <w:rFonts w:eastAsia="Times New Roman"/>
                <w:b w:val="0"/>
                <w:color w:val="000000"/>
                <w:szCs w:val="18"/>
              </w:rPr>
            </w:pPr>
            <w:r w:rsidRPr="00A01C65">
              <w:rPr>
                <w:rFonts w:eastAsia="Times New Roman"/>
                <w:b w:val="0"/>
                <w:color w:val="000000"/>
                <w:szCs w:val="18"/>
              </w:rPr>
              <w:t>Senior Executive Service Band 2 (SES B2)</w:t>
            </w:r>
          </w:p>
        </w:tc>
        <w:tc>
          <w:tcPr>
            <w:tcW w:w="1162" w:type="dxa"/>
            <w:noWrap/>
          </w:tcPr>
          <w:p w:rsidR="00743ECF" w:rsidRPr="00743ECF" w:rsidRDefault="00644CCF" w:rsidP="00E60E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-</w:t>
            </w:r>
          </w:p>
        </w:tc>
        <w:tc>
          <w:tcPr>
            <w:tcW w:w="1162" w:type="dxa"/>
            <w:noWrap/>
          </w:tcPr>
          <w:p w:rsidR="00743ECF" w:rsidRPr="00743ECF" w:rsidRDefault="00140695" w:rsidP="00E60E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1</w:t>
            </w:r>
          </w:p>
        </w:tc>
        <w:tc>
          <w:tcPr>
            <w:tcW w:w="1163" w:type="dxa"/>
            <w:noWrap/>
          </w:tcPr>
          <w:p w:rsidR="00743ECF" w:rsidRPr="00743ECF" w:rsidRDefault="00140695" w:rsidP="00E60E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1</w:t>
            </w:r>
          </w:p>
        </w:tc>
        <w:tc>
          <w:tcPr>
            <w:tcW w:w="1162" w:type="dxa"/>
            <w:noWrap/>
          </w:tcPr>
          <w:p w:rsidR="00743ECF" w:rsidRPr="00743ECF" w:rsidRDefault="00644CCF" w:rsidP="00E60E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-</w:t>
            </w:r>
          </w:p>
        </w:tc>
        <w:tc>
          <w:tcPr>
            <w:tcW w:w="1163" w:type="dxa"/>
            <w:noWrap/>
          </w:tcPr>
          <w:p w:rsidR="00743ECF" w:rsidRPr="00743ECF" w:rsidRDefault="00140695" w:rsidP="00E60E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Cs w:val="18"/>
              </w:rPr>
              <w:t>2</w:t>
            </w:r>
          </w:p>
        </w:tc>
      </w:tr>
      <w:tr w:rsidR="00743ECF" w:rsidRPr="00743ECF" w:rsidTr="00B56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743ECF" w:rsidRPr="00A01C65" w:rsidRDefault="00743ECF" w:rsidP="00E60E7C">
            <w:pPr>
              <w:rPr>
                <w:rFonts w:eastAsia="Times New Roman"/>
                <w:b w:val="0"/>
                <w:color w:val="000000"/>
                <w:szCs w:val="18"/>
              </w:rPr>
            </w:pPr>
            <w:r w:rsidRPr="00A01C65">
              <w:rPr>
                <w:rFonts w:eastAsia="Times New Roman"/>
                <w:b w:val="0"/>
                <w:color w:val="000000"/>
                <w:szCs w:val="18"/>
              </w:rPr>
              <w:t>Senior Executive Service Band 1 (SES B1)</w:t>
            </w:r>
            <w:r w:rsidR="002250E8" w:rsidRPr="00A01C65">
              <w:rPr>
                <w:rFonts w:eastAsia="Times New Roman"/>
                <w:b w:val="0"/>
                <w:color w:val="000000"/>
                <w:szCs w:val="18"/>
              </w:rPr>
              <w:t xml:space="preserve"> </w:t>
            </w:r>
            <w:r w:rsidR="00E10490" w:rsidRPr="00A01C65">
              <w:rPr>
                <w:rFonts w:eastAsia="Times New Roman"/>
                <w:b w:val="0"/>
                <w:color w:val="000000"/>
                <w:szCs w:val="18"/>
                <w:vertAlign w:val="superscript"/>
              </w:rPr>
              <w:t>1</w:t>
            </w:r>
          </w:p>
        </w:tc>
        <w:tc>
          <w:tcPr>
            <w:tcW w:w="1162" w:type="dxa"/>
            <w:noWrap/>
          </w:tcPr>
          <w:p w:rsidR="00743ECF" w:rsidRPr="00743ECF" w:rsidRDefault="00644CCF" w:rsidP="00E60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-</w:t>
            </w:r>
          </w:p>
        </w:tc>
        <w:tc>
          <w:tcPr>
            <w:tcW w:w="1162" w:type="dxa"/>
            <w:noWrap/>
          </w:tcPr>
          <w:p w:rsidR="00743ECF" w:rsidRPr="00743ECF" w:rsidRDefault="00140695" w:rsidP="00E60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2</w:t>
            </w:r>
          </w:p>
        </w:tc>
        <w:tc>
          <w:tcPr>
            <w:tcW w:w="1163" w:type="dxa"/>
            <w:noWrap/>
          </w:tcPr>
          <w:p w:rsidR="00743ECF" w:rsidRPr="00743ECF" w:rsidRDefault="00140695" w:rsidP="00E60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1</w:t>
            </w:r>
          </w:p>
        </w:tc>
        <w:tc>
          <w:tcPr>
            <w:tcW w:w="1162" w:type="dxa"/>
            <w:noWrap/>
          </w:tcPr>
          <w:p w:rsidR="00743ECF" w:rsidRPr="00743ECF" w:rsidRDefault="00140695" w:rsidP="00E60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1</w:t>
            </w:r>
          </w:p>
        </w:tc>
        <w:tc>
          <w:tcPr>
            <w:tcW w:w="1163" w:type="dxa"/>
            <w:noWrap/>
          </w:tcPr>
          <w:p w:rsidR="00743ECF" w:rsidRPr="00743ECF" w:rsidRDefault="006F3D6C" w:rsidP="00E60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Cs w:val="18"/>
              </w:rPr>
              <w:t>4</w:t>
            </w:r>
          </w:p>
        </w:tc>
      </w:tr>
      <w:tr w:rsidR="00743ECF" w:rsidRPr="00743ECF" w:rsidTr="00B56F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743ECF" w:rsidRPr="00A01C65" w:rsidRDefault="00743ECF" w:rsidP="00E60E7C">
            <w:pPr>
              <w:rPr>
                <w:rFonts w:eastAsia="Times New Roman"/>
                <w:b w:val="0"/>
                <w:color w:val="000000"/>
                <w:szCs w:val="18"/>
              </w:rPr>
            </w:pPr>
            <w:r w:rsidRPr="00A01C65">
              <w:rPr>
                <w:rFonts w:eastAsia="Times New Roman"/>
                <w:b w:val="0"/>
                <w:color w:val="000000"/>
                <w:szCs w:val="18"/>
              </w:rPr>
              <w:t>Parliamentary Executive Level 2 (PEL2)</w:t>
            </w:r>
          </w:p>
        </w:tc>
        <w:tc>
          <w:tcPr>
            <w:tcW w:w="1162" w:type="dxa"/>
            <w:noWrap/>
          </w:tcPr>
          <w:p w:rsidR="00743ECF" w:rsidRPr="00743ECF" w:rsidRDefault="00644CCF" w:rsidP="00E60E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-</w:t>
            </w:r>
          </w:p>
        </w:tc>
        <w:tc>
          <w:tcPr>
            <w:tcW w:w="1162" w:type="dxa"/>
            <w:noWrap/>
          </w:tcPr>
          <w:p w:rsidR="00743ECF" w:rsidRPr="00743ECF" w:rsidRDefault="00140695" w:rsidP="00E60E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4</w:t>
            </w:r>
          </w:p>
        </w:tc>
        <w:tc>
          <w:tcPr>
            <w:tcW w:w="1163" w:type="dxa"/>
            <w:noWrap/>
          </w:tcPr>
          <w:p w:rsidR="00743ECF" w:rsidRPr="00743ECF" w:rsidRDefault="00140695" w:rsidP="00E60E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2</w:t>
            </w:r>
          </w:p>
        </w:tc>
        <w:tc>
          <w:tcPr>
            <w:tcW w:w="1162" w:type="dxa"/>
            <w:noWrap/>
          </w:tcPr>
          <w:p w:rsidR="00743ECF" w:rsidRPr="00743ECF" w:rsidRDefault="00140695" w:rsidP="00E60E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2</w:t>
            </w:r>
          </w:p>
        </w:tc>
        <w:tc>
          <w:tcPr>
            <w:tcW w:w="1163" w:type="dxa"/>
            <w:noWrap/>
          </w:tcPr>
          <w:p w:rsidR="00743ECF" w:rsidRPr="00743ECF" w:rsidRDefault="00140695" w:rsidP="00E60E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Cs w:val="18"/>
              </w:rPr>
              <w:t>8</w:t>
            </w:r>
          </w:p>
        </w:tc>
      </w:tr>
      <w:tr w:rsidR="00743ECF" w:rsidRPr="00743ECF" w:rsidTr="00B56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743ECF" w:rsidRPr="00A01C65" w:rsidRDefault="00743ECF" w:rsidP="00E60E7C">
            <w:pPr>
              <w:rPr>
                <w:rFonts w:eastAsia="Times New Roman"/>
                <w:b w:val="0"/>
                <w:color w:val="000000"/>
                <w:szCs w:val="18"/>
              </w:rPr>
            </w:pPr>
            <w:r w:rsidRPr="00A01C65">
              <w:rPr>
                <w:rFonts w:eastAsia="Times New Roman"/>
                <w:b w:val="0"/>
                <w:color w:val="000000"/>
                <w:szCs w:val="18"/>
              </w:rPr>
              <w:t>Parliamentary Executive Level 1 (PEL1)</w:t>
            </w:r>
            <w:r w:rsidR="00AA19A6" w:rsidRPr="00A01C65">
              <w:rPr>
                <w:rFonts w:eastAsia="Times New Roman"/>
                <w:b w:val="0"/>
                <w:color w:val="000000"/>
                <w:szCs w:val="18"/>
              </w:rPr>
              <w:t xml:space="preserve"> </w:t>
            </w:r>
            <w:r w:rsidR="0065278E">
              <w:rPr>
                <w:rFonts w:eastAsia="Times New Roman"/>
                <w:b w:val="0"/>
                <w:color w:val="000000"/>
                <w:szCs w:val="18"/>
                <w:vertAlign w:val="superscript"/>
              </w:rPr>
              <w:t>1</w:t>
            </w:r>
          </w:p>
        </w:tc>
        <w:tc>
          <w:tcPr>
            <w:tcW w:w="1162" w:type="dxa"/>
            <w:noWrap/>
          </w:tcPr>
          <w:p w:rsidR="00743ECF" w:rsidRPr="00743ECF" w:rsidRDefault="00644CCF" w:rsidP="00E60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-</w:t>
            </w:r>
          </w:p>
        </w:tc>
        <w:tc>
          <w:tcPr>
            <w:tcW w:w="1162" w:type="dxa"/>
            <w:noWrap/>
          </w:tcPr>
          <w:p w:rsidR="00743ECF" w:rsidRPr="00743ECF" w:rsidRDefault="006F3D6C" w:rsidP="00E60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1</w:t>
            </w:r>
            <w:r w:rsidR="00A17D76">
              <w:rPr>
                <w:rFonts w:eastAsia="Times New Roman"/>
                <w:color w:val="000000"/>
                <w:szCs w:val="18"/>
              </w:rPr>
              <w:t>3</w:t>
            </w:r>
          </w:p>
        </w:tc>
        <w:tc>
          <w:tcPr>
            <w:tcW w:w="1163" w:type="dxa"/>
            <w:noWrap/>
          </w:tcPr>
          <w:p w:rsidR="00743ECF" w:rsidRPr="00743ECF" w:rsidRDefault="00140695" w:rsidP="00E60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4</w:t>
            </w:r>
          </w:p>
        </w:tc>
        <w:tc>
          <w:tcPr>
            <w:tcW w:w="1162" w:type="dxa"/>
            <w:noWrap/>
          </w:tcPr>
          <w:p w:rsidR="00743ECF" w:rsidRPr="00743ECF" w:rsidRDefault="006F3D6C" w:rsidP="00E60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1</w:t>
            </w:r>
          </w:p>
        </w:tc>
        <w:tc>
          <w:tcPr>
            <w:tcW w:w="1163" w:type="dxa"/>
            <w:noWrap/>
          </w:tcPr>
          <w:p w:rsidR="00743ECF" w:rsidRPr="00743ECF" w:rsidRDefault="006F3D6C" w:rsidP="00E60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Cs w:val="18"/>
              </w:rPr>
              <w:t>1</w:t>
            </w:r>
            <w:r w:rsidR="00A17D76">
              <w:rPr>
                <w:rFonts w:eastAsia="Times New Roman"/>
                <w:b/>
                <w:bCs/>
                <w:color w:val="000000"/>
                <w:szCs w:val="18"/>
              </w:rPr>
              <w:t>8</w:t>
            </w:r>
          </w:p>
        </w:tc>
      </w:tr>
      <w:tr w:rsidR="00743ECF" w:rsidRPr="00743ECF" w:rsidTr="00B56F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743ECF" w:rsidRPr="00A01C65" w:rsidRDefault="00743ECF" w:rsidP="00E60E7C">
            <w:pPr>
              <w:rPr>
                <w:rFonts w:eastAsia="Times New Roman"/>
                <w:b w:val="0"/>
                <w:color w:val="000000"/>
                <w:szCs w:val="18"/>
              </w:rPr>
            </w:pPr>
            <w:r w:rsidRPr="00A01C65">
              <w:rPr>
                <w:rFonts w:eastAsia="Times New Roman"/>
                <w:b w:val="0"/>
                <w:color w:val="000000"/>
                <w:szCs w:val="18"/>
              </w:rPr>
              <w:t>Parliamentary Service Level 6 (PSL6)</w:t>
            </w:r>
          </w:p>
        </w:tc>
        <w:tc>
          <w:tcPr>
            <w:tcW w:w="1162" w:type="dxa"/>
            <w:noWrap/>
          </w:tcPr>
          <w:p w:rsidR="00743ECF" w:rsidRPr="00743ECF" w:rsidRDefault="00140695" w:rsidP="00E60E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1</w:t>
            </w:r>
          </w:p>
        </w:tc>
        <w:tc>
          <w:tcPr>
            <w:tcW w:w="1162" w:type="dxa"/>
            <w:noWrap/>
          </w:tcPr>
          <w:p w:rsidR="00743ECF" w:rsidRPr="00743ECF" w:rsidRDefault="008305AB" w:rsidP="00E60E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7</w:t>
            </w:r>
          </w:p>
        </w:tc>
        <w:tc>
          <w:tcPr>
            <w:tcW w:w="1163" w:type="dxa"/>
            <w:noWrap/>
          </w:tcPr>
          <w:p w:rsidR="00743ECF" w:rsidRPr="00743ECF" w:rsidRDefault="008305AB" w:rsidP="00E60E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-</w:t>
            </w:r>
          </w:p>
        </w:tc>
        <w:tc>
          <w:tcPr>
            <w:tcW w:w="1162" w:type="dxa"/>
            <w:noWrap/>
          </w:tcPr>
          <w:p w:rsidR="00743ECF" w:rsidRPr="00743ECF" w:rsidRDefault="006F3D6C" w:rsidP="00E60E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-</w:t>
            </w:r>
          </w:p>
        </w:tc>
        <w:tc>
          <w:tcPr>
            <w:tcW w:w="1163" w:type="dxa"/>
            <w:noWrap/>
          </w:tcPr>
          <w:p w:rsidR="00743ECF" w:rsidRPr="00743ECF" w:rsidRDefault="00A17D76" w:rsidP="00E60E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Cs w:val="18"/>
              </w:rPr>
              <w:t>8</w:t>
            </w:r>
          </w:p>
        </w:tc>
      </w:tr>
      <w:tr w:rsidR="00743ECF" w:rsidRPr="00743ECF" w:rsidTr="00B56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743ECF" w:rsidRPr="00A01C65" w:rsidRDefault="00743ECF" w:rsidP="00E60E7C">
            <w:pPr>
              <w:rPr>
                <w:rFonts w:eastAsia="Times New Roman"/>
                <w:b w:val="0"/>
                <w:color w:val="000000"/>
                <w:szCs w:val="18"/>
              </w:rPr>
            </w:pPr>
            <w:r w:rsidRPr="00A01C65">
              <w:rPr>
                <w:rFonts w:eastAsia="Times New Roman"/>
                <w:b w:val="0"/>
                <w:color w:val="000000"/>
                <w:szCs w:val="18"/>
              </w:rPr>
              <w:t>Parliamentary Service Level 5 (PSL5)</w:t>
            </w:r>
            <w:r w:rsidR="002E3D70">
              <w:rPr>
                <w:rFonts w:eastAsia="Times New Roman"/>
                <w:b w:val="0"/>
                <w:color w:val="000000"/>
                <w:szCs w:val="18"/>
              </w:rPr>
              <w:t xml:space="preserve"> </w:t>
            </w:r>
            <w:r w:rsidR="00AF734A">
              <w:rPr>
                <w:rFonts w:eastAsia="Times New Roman"/>
                <w:b w:val="0"/>
                <w:color w:val="000000"/>
                <w:szCs w:val="18"/>
                <w:vertAlign w:val="superscript"/>
              </w:rPr>
              <w:t>1</w:t>
            </w:r>
            <w:r w:rsidR="002250E8" w:rsidRPr="00A01C65">
              <w:rPr>
                <w:rFonts w:eastAsia="Times New Roman"/>
                <w:b w:val="0"/>
                <w:color w:val="000000"/>
                <w:szCs w:val="18"/>
              </w:rPr>
              <w:t xml:space="preserve"> </w:t>
            </w:r>
          </w:p>
        </w:tc>
        <w:tc>
          <w:tcPr>
            <w:tcW w:w="1162" w:type="dxa"/>
            <w:noWrap/>
          </w:tcPr>
          <w:p w:rsidR="00743ECF" w:rsidRPr="00743ECF" w:rsidRDefault="00644CCF" w:rsidP="00E60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-</w:t>
            </w:r>
          </w:p>
        </w:tc>
        <w:tc>
          <w:tcPr>
            <w:tcW w:w="1162" w:type="dxa"/>
            <w:noWrap/>
          </w:tcPr>
          <w:p w:rsidR="00743ECF" w:rsidRPr="00743ECF" w:rsidRDefault="00A17D76" w:rsidP="00E60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1</w:t>
            </w:r>
          </w:p>
        </w:tc>
        <w:tc>
          <w:tcPr>
            <w:tcW w:w="1163" w:type="dxa"/>
            <w:noWrap/>
          </w:tcPr>
          <w:p w:rsidR="00743ECF" w:rsidRPr="00743ECF" w:rsidRDefault="006F3D6C" w:rsidP="00E60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1</w:t>
            </w:r>
          </w:p>
        </w:tc>
        <w:tc>
          <w:tcPr>
            <w:tcW w:w="1162" w:type="dxa"/>
            <w:noWrap/>
          </w:tcPr>
          <w:p w:rsidR="00743ECF" w:rsidRPr="00743ECF" w:rsidRDefault="00140695" w:rsidP="00E60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2</w:t>
            </w:r>
          </w:p>
        </w:tc>
        <w:tc>
          <w:tcPr>
            <w:tcW w:w="1163" w:type="dxa"/>
            <w:noWrap/>
          </w:tcPr>
          <w:p w:rsidR="00743ECF" w:rsidRPr="00743ECF" w:rsidRDefault="00A17D76" w:rsidP="00E60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Cs w:val="18"/>
              </w:rPr>
              <w:t>4</w:t>
            </w:r>
          </w:p>
        </w:tc>
      </w:tr>
      <w:tr w:rsidR="00743ECF" w:rsidRPr="00743ECF" w:rsidTr="00B56F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743ECF" w:rsidRPr="00A01C65" w:rsidRDefault="00743ECF" w:rsidP="00E60E7C">
            <w:pPr>
              <w:rPr>
                <w:rFonts w:eastAsia="Times New Roman"/>
                <w:b w:val="0"/>
                <w:color w:val="000000"/>
                <w:szCs w:val="18"/>
              </w:rPr>
            </w:pPr>
            <w:r w:rsidRPr="00A01C65">
              <w:rPr>
                <w:rFonts w:eastAsia="Times New Roman"/>
                <w:b w:val="0"/>
                <w:color w:val="000000"/>
                <w:szCs w:val="18"/>
              </w:rPr>
              <w:t xml:space="preserve">Parliamentary Service Level 4 (PSL4) </w:t>
            </w:r>
            <w:r w:rsidR="00D873D2" w:rsidRPr="00A01C65">
              <w:rPr>
                <w:rFonts w:eastAsia="Times New Roman"/>
                <w:b w:val="0"/>
                <w:color w:val="000000"/>
                <w:szCs w:val="18"/>
                <w:vertAlign w:val="superscript"/>
              </w:rPr>
              <w:t>1</w:t>
            </w:r>
          </w:p>
        </w:tc>
        <w:tc>
          <w:tcPr>
            <w:tcW w:w="1162" w:type="dxa"/>
            <w:noWrap/>
          </w:tcPr>
          <w:p w:rsidR="00743ECF" w:rsidRPr="00743ECF" w:rsidRDefault="00644CCF" w:rsidP="00E60E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-</w:t>
            </w:r>
          </w:p>
        </w:tc>
        <w:tc>
          <w:tcPr>
            <w:tcW w:w="1162" w:type="dxa"/>
            <w:noWrap/>
          </w:tcPr>
          <w:p w:rsidR="00743ECF" w:rsidRPr="00743ECF" w:rsidRDefault="00C53944" w:rsidP="00E60E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-</w:t>
            </w:r>
          </w:p>
        </w:tc>
        <w:tc>
          <w:tcPr>
            <w:tcW w:w="1163" w:type="dxa"/>
            <w:noWrap/>
          </w:tcPr>
          <w:p w:rsidR="00743ECF" w:rsidRPr="00743ECF" w:rsidRDefault="00C53944" w:rsidP="00E60E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-</w:t>
            </w:r>
          </w:p>
        </w:tc>
        <w:tc>
          <w:tcPr>
            <w:tcW w:w="1162" w:type="dxa"/>
            <w:noWrap/>
          </w:tcPr>
          <w:p w:rsidR="00743ECF" w:rsidRPr="00743ECF" w:rsidRDefault="00C53944" w:rsidP="00E60E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1</w:t>
            </w:r>
          </w:p>
        </w:tc>
        <w:tc>
          <w:tcPr>
            <w:tcW w:w="1163" w:type="dxa"/>
            <w:noWrap/>
          </w:tcPr>
          <w:p w:rsidR="00743ECF" w:rsidRPr="00743ECF" w:rsidRDefault="00B57CD1" w:rsidP="00E60E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Cs w:val="18"/>
              </w:rPr>
              <w:t>1</w:t>
            </w:r>
          </w:p>
        </w:tc>
      </w:tr>
      <w:tr w:rsidR="00743ECF" w:rsidRPr="00743ECF" w:rsidTr="00B56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743ECF" w:rsidRPr="00743ECF" w:rsidRDefault="00743ECF" w:rsidP="00D873D2">
            <w:pPr>
              <w:rPr>
                <w:rFonts w:eastAsia="Times New Roman"/>
                <w:bCs/>
                <w:color w:val="000000"/>
                <w:szCs w:val="18"/>
              </w:rPr>
            </w:pPr>
            <w:r w:rsidRPr="00743ECF">
              <w:rPr>
                <w:rFonts w:eastAsia="Times New Roman"/>
                <w:bCs/>
                <w:color w:val="000000"/>
                <w:szCs w:val="18"/>
              </w:rPr>
              <w:t xml:space="preserve">Total </w:t>
            </w:r>
            <w:r w:rsidR="00A62104">
              <w:rPr>
                <w:rFonts w:eastAsia="Times New Roman"/>
                <w:bCs/>
                <w:color w:val="000000"/>
                <w:szCs w:val="18"/>
              </w:rPr>
              <w:t>s</w:t>
            </w:r>
            <w:r w:rsidRPr="00743ECF">
              <w:rPr>
                <w:rFonts w:eastAsia="Times New Roman"/>
                <w:bCs/>
                <w:color w:val="000000"/>
                <w:szCs w:val="18"/>
              </w:rPr>
              <w:t>taff</w:t>
            </w:r>
          </w:p>
        </w:tc>
        <w:tc>
          <w:tcPr>
            <w:tcW w:w="1162" w:type="dxa"/>
            <w:noWrap/>
          </w:tcPr>
          <w:p w:rsidR="00743ECF" w:rsidRPr="00743ECF" w:rsidRDefault="00140695" w:rsidP="00E60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Cs w:val="18"/>
              </w:rPr>
              <w:t>2</w:t>
            </w:r>
          </w:p>
        </w:tc>
        <w:tc>
          <w:tcPr>
            <w:tcW w:w="1162" w:type="dxa"/>
            <w:noWrap/>
          </w:tcPr>
          <w:p w:rsidR="00743ECF" w:rsidRPr="00743ECF" w:rsidRDefault="00D873D2" w:rsidP="00830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Cs w:val="18"/>
              </w:rPr>
              <w:t>2</w:t>
            </w:r>
            <w:r w:rsidR="008305AB">
              <w:rPr>
                <w:rFonts w:eastAsia="Times New Roman"/>
                <w:b/>
                <w:bCs/>
                <w:color w:val="000000"/>
                <w:szCs w:val="18"/>
              </w:rPr>
              <w:t>8</w:t>
            </w:r>
          </w:p>
        </w:tc>
        <w:tc>
          <w:tcPr>
            <w:tcW w:w="1163" w:type="dxa"/>
            <w:noWrap/>
          </w:tcPr>
          <w:p w:rsidR="00743ECF" w:rsidRPr="00596C26" w:rsidRDefault="008305AB" w:rsidP="00E60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Cs w:val="18"/>
              </w:rPr>
            </w:pPr>
            <w:r>
              <w:rPr>
                <w:rFonts w:eastAsia="Times New Roman"/>
                <w:b/>
                <w:color w:val="000000"/>
                <w:szCs w:val="18"/>
              </w:rPr>
              <w:t>9</w:t>
            </w:r>
          </w:p>
        </w:tc>
        <w:tc>
          <w:tcPr>
            <w:tcW w:w="1162" w:type="dxa"/>
            <w:noWrap/>
          </w:tcPr>
          <w:p w:rsidR="00743ECF" w:rsidRPr="00743ECF" w:rsidRDefault="00B57CD1" w:rsidP="00E60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Cs w:val="18"/>
              </w:rPr>
              <w:t>7</w:t>
            </w:r>
          </w:p>
        </w:tc>
        <w:tc>
          <w:tcPr>
            <w:tcW w:w="1163" w:type="dxa"/>
            <w:noWrap/>
          </w:tcPr>
          <w:p w:rsidR="00743ECF" w:rsidRPr="00743ECF" w:rsidRDefault="00356E41" w:rsidP="00E60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Cs w:val="18"/>
              </w:rPr>
              <w:t>4</w:t>
            </w:r>
            <w:r w:rsidR="00A17D76">
              <w:rPr>
                <w:rFonts w:eastAsia="Times New Roman"/>
                <w:b/>
                <w:bCs/>
                <w:color w:val="000000"/>
                <w:szCs w:val="18"/>
              </w:rPr>
              <w:t>6</w:t>
            </w:r>
          </w:p>
        </w:tc>
      </w:tr>
    </w:tbl>
    <w:p w:rsidR="00D873D2" w:rsidRDefault="007C1434" w:rsidP="00E60E7C">
      <w:pPr>
        <w:pStyle w:val="PBOtext"/>
        <w:tabs>
          <w:tab w:val="left" w:pos="142"/>
        </w:tabs>
        <w:rPr>
          <w:sz w:val="16"/>
          <w:szCs w:val="16"/>
        </w:rPr>
      </w:pPr>
      <w:r w:rsidRPr="00BA18F0">
        <w:rPr>
          <w:sz w:val="16"/>
          <w:szCs w:val="16"/>
          <w:vertAlign w:val="superscript"/>
        </w:rPr>
        <w:t>1</w:t>
      </w:r>
      <w:r w:rsidR="009837E2" w:rsidRPr="00BA18F0">
        <w:rPr>
          <w:sz w:val="16"/>
          <w:szCs w:val="16"/>
        </w:rPr>
        <w:tab/>
      </w:r>
      <w:r w:rsidR="00543268" w:rsidRPr="00BA18F0">
        <w:rPr>
          <w:sz w:val="16"/>
          <w:szCs w:val="16"/>
        </w:rPr>
        <w:t>One SES B1</w:t>
      </w:r>
      <w:r w:rsidR="00B40746" w:rsidRPr="00BA18F0">
        <w:rPr>
          <w:sz w:val="16"/>
          <w:szCs w:val="16"/>
        </w:rPr>
        <w:t>,</w:t>
      </w:r>
      <w:r w:rsidR="00BA18F0" w:rsidRPr="008D181D">
        <w:rPr>
          <w:sz w:val="16"/>
          <w:szCs w:val="16"/>
        </w:rPr>
        <w:t xml:space="preserve"> </w:t>
      </w:r>
      <w:r w:rsidR="00DE2FBE" w:rsidRPr="008D181D">
        <w:rPr>
          <w:sz w:val="16"/>
          <w:szCs w:val="16"/>
        </w:rPr>
        <w:t>one PSL5</w:t>
      </w:r>
      <w:r w:rsidR="005323C2" w:rsidRPr="00BA18F0">
        <w:rPr>
          <w:sz w:val="16"/>
          <w:szCs w:val="16"/>
        </w:rPr>
        <w:t xml:space="preserve"> </w:t>
      </w:r>
      <w:r w:rsidR="00B40746" w:rsidRPr="00BA18F0">
        <w:rPr>
          <w:sz w:val="16"/>
          <w:szCs w:val="16"/>
        </w:rPr>
        <w:t xml:space="preserve">and one PSL4 ongoing </w:t>
      </w:r>
      <w:r w:rsidR="005B325D" w:rsidRPr="00BA18F0">
        <w:rPr>
          <w:sz w:val="16"/>
          <w:szCs w:val="16"/>
        </w:rPr>
        <w:t xml:space="preserve">employees </w:t>
      </w:r>
      <w:r w:rsidR="005323C2" w:rsidRPr="00BA18F0">
        <w:rPr>
          <w:sz w:val="16"/>
          <w:szCs w:val="16"/>
        </w:rPr>
        <w:t>are</w:t>
      </w:r>
      <w:r w:rsidR="00543268" w:rsidRPr="00BA18F0">
        <w:rPr>
          <w:sz w:val="16"/>
          <w:szCs w:val="16"/>
        </w:rPr>
        <w:t xml:space="preserve"> on long term leave and </w:t>
      </w:r>
      <w:r w:rsidR="005323C2" w:rsidRPr="00BA18F0">
        <w:rPr>
          <w:sz w:val="16"/>
          <w:szCs w:val="16"/>
        </w:rPr>
        <w:t xml:space="preserve">are </w:t>
      </w:r>
      <w:r w:rsidR="00543268" w:rsidRPr="00BA18F0">
        <w:rPr>
          <w:sz w:val="16"/>
          <w:szCs w:val="16"/>
        </w:rPr>
        <w:t>not included in these totals.</w:t>
      </w:r>
      <w:r w:rsidR="00DE0A52" w:rsidRPr="00BA18F0">
        <w:rPr>
          <w:sz w:val="16"/>
          <w:szCs w:val="16"/>
        </w:rPr>
        <w:br/>
      </w:r>
      <w:r w:rsidR="005323C2" w:rsidRPr="00BA18F0">
        <w:rPr>
          <w:sz w:val="16"/>
          <w:szCs w:val="16"/>
        </w:rPr>
        <w:t>In addition</w:t>
      </w:r>
      <w:r w:rsidR="005B325D" w:rsidRPr="00BA18F0">
        <w:rPr>
          <w:sz w:val="16"/>
          <w:szCs w:val="16"/>
        </w:rPr>
        <w:t>,</w:t>
      </w:r>
      <w:r w:rsidR="005323C2" w:rsidRPr="00BA18F0">
        <w:rPr>
          <w:sz w:val="16"/>
          <w:szCs w:val="16"/>
        </w:rPr>
        <w:t xml:space="preserve"> one </w:t>
      </w:r>
      <w:r w:rsidR="005B325D" w:rsidRPr="00BA18F0">
        <w:rPr>
          <w:sz w:val="16"/>
          <w:szCs w:val="16"/>
        </w:rPr>
        <w:t>PEL1</w:t>
      </w:r>
      <w:r w:rsidR="00B83141" w:rsidRPr="00BA18F0">
        <w:rPr>
          <w:sz w:val="16"/>
          <w:szCs w:val="16"/>
        </w:rPr>
        <w:t xml:space="preserve"> </w:t>
      </w:r>
      <w:r w:rsidR="005323C2" w:rsidRPr="00BA18F0">
        <w:rPr>
          <w:sz w:val="16"/>
          <w:szCs w:val="16"/>
        </w:rPr>
        <w:t xml:space="preserve">employee </w:t>
      </w:r>
      <w:r w:rsidR="00EC09B2" w:rsidRPr="00BA18F0">
        <w:rPr>
          <w:sz w:val="16"/>
          <w:szCs w:val="16"/>
        </w:rPr>
        <w:t xml:space="preserve">is on </w:t>
      </w:r>
      <w:r w:rsidR="005323C2" w:rsidRPr="00BA18F0">
        <w:rPr>
          <w:sz w:val="16"/>
          <w:szCs w:val="16"/>
        </w:rPr>
        <w:t>second</w:t>
      </w:r>
      <w:r w:rsidR="00EC09B2" w:rsidRPr="00BA18F0">
        <w:rPr>
          <w:sz w:val="16"/>
          <w:szCs w:val="16"/>
        </w:rPr>
        <w:t>ment</w:t>
      </w:r>
      <w:r w:rsidR="00AD2887" w:rsidRPr="00BA18F0">
        <w:rPr>
          <w:sz w:val="16"/>
          <w:szCs w:val="16"/>
        </w:rPr>
        <w:t xml:space="preserve"> to </w:t>
      </w:r>
      <w:r w:rsidR="005323C2" w:rsidRPr="00BA18F0">
        <w:rPr>
          <w:sz w:val="16"/>
          <w:szCs w:val="16"/>
        </w:rPr>
        <w:t>the Australian Taxation Office</w:t>
      </w:r>
      <w:r w:rsidR="00EC09B2" w:rsidRPr="00BA18F0">
        <w:rPr>
          <w:sz w:val="16"/>
          <w:szCs w:val="16"/>
        </w:rPr>
        <w:t xml:space="preserve"> and is not included in the above to</w:t>
      </w:r>
      <w:r w:rsidR="00EC09B2" w:rsidRPr="008D181D">
        <w:rPr>
          <w:sz w:val="16"/>
          <w:szCs w:val="16"/>
        </w:rPr>
        <w:t>tals</w:t>
      </w:r>
      <w:r w:rsidR="00AD2887" w:rsidRPr="008D181D">
        <w:rPr>
          <w:sz w:val="16"/>
          <w:szCs w:val="16"/>
        </w:rPr>
        <w:t>.</w:t>
      </w:r>
    </w:p>
    <w:p w:rsidR="00F36BEB" w:rsidRDefault="00F36BEB" w:rsidP="00D873D2">
      <w:pPr>
        <w:pStyle w:val="Caption"/>
        <w:keepLines w:val="0"/>
        <w:spacing w:before="340" w:after="114" w:line="250" w:lineRule="atLeast"/>
        <w:jc w:val="left"/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</w:pPr>
      <w:r w:rsidRP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Figure 4: PBO staff by function and employment level</w:t>
      </w:r>
      <w:r w:rsid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 as at </w:t>
      </w:r>
      <w:r w:rsidR="00E60E7C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31</w:t>
      </w:r>
      <w:r w:rsidR="00DC430D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 March 2017</w:t>
      </w:r>
    </w:p>
    <w:p w:rsidR="00315623" w:rsidRDefault="009B39C1" w:rsidP="00E60E7C">
      <w:pPr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1730700E" wp14:editId="384793A4">
            <wp:extent cx="5772647" cy="3943847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315623" w:rsidSect="00A734A7">
      <w:footerReference w:type="defaul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57B" w:rsidRDefault="0038557B" w:rsidP="00770BB2">
      <w:pPr>
        <w:spacing w:after="0"/>
      </w:pPr>
      <w:r>
        <w:separator/>
      </w:r>
    </w:p>
  </w:endnote>
  <w:endnote w:type="continuationSeparator" w:id="0">
    <w:p w:rsidR="0038557B" w:rsidRDefault="0038557B" w:rsidP="00770B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E3" w:rsidRPr="00201F77" w:rsidRDefault="007432E3" w:rsidP="00201F77">
    <w:pPr>
      <w:pStyle w:val="Footer"/>
      <w:pBdr>
        <w:top w:val="single" w:sz="4" w:space="0" w:color="2B3B5F"/>
      </w:pBdr>
      <w:tabs>
        <w:tab w:val="clear" w:pos="9026"/>
        <w:tab w:val="right" w:pos="9498"/>
      </w:tabs>
      <w:rPr>
        <w:rFonts w:asciiTheme="minorHAnsi" w:hAnsiTheme="minorHAnsi"/>
        <w:sz w:val="18"/>
        <w:szCs w:val="18"/>
      </w:rPr>
    </w:pPr>
    <w:r w:rsidRPr="00F36BEB">
      <w:rPr>
        <w:rFonts w:asciiTheme="minorHAnsi" w:hAnsiTheme="minorHAnsi"/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C7927CA" wp14:editId="2EF859E2">
              <wp:simplePos x="0" y="0"/>
              <wp:positionH relativeFrom="column">
                <wp:posOffset>4523196</wp:posOffset>
              </wp:positionH>
              <wp:positionV relativeFrom="paragraph">
                <wp:posOffset>-40005</wp:posOffset>
              </wp:positionV>
              <wp:extent cx="1323975" cy="29527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32E3" w:rsidRPr="00F36BEB" w:rsidRDefault="007432E3" w:rsidP="005C2F9E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F36BEB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Page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31849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31849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B31849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44E2D">
                            <w:rPr>
                              <w:rFonts w:asciiTheme="minorHAnsi" w:hAnsiTheme="minorHAnsi"/>
                              <w:bCs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B31849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F36BEB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F36BEB">
                            <w:rPr>
                              <w:rFonts w:asciiTheme="minorHAnsi" w:hAnsiTheme="minorHAnsi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36BEB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Pr="00F36BEB">
                            <w:rPr>
                              <w:rFonts w:asciiTheme="minorHAnsi" w:hAnsiTheme="minorHAnsi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44E2D">
                            <w:rPr>
                              <w:rFonts w:asciiTheme="minorHAnsi" w:hAnsiTheme="minorHAnsi"/>
                              <w:bCs/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 w:rsidRPr="00F36BEB">
                            <w:rPr>
                              <w:rFonts w:asciiTheme="minorHAnsi" w:hAnsiTheme="minorHAnsi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56.15pt;margin-top:-3.15pt;width:104.25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/WfAIAAGIFAAAOAAAAZHJzL2Uyb0RvYy54bWysVN9P2zAQfp+0/8Hy+0hbKNCKFHUgpkkI&#10;0GDi2XVsGs32efa1SffX7+wkpWJ7YdpLcvZ99/l+X1y21rCtCrEGV/Lx0Ygz5SRUtXsp+fenm0/n&#10;nEUUrhIGnCr5TkV+ufj44aLxczWBNZhKBUYkLs4bX/I1op8XRZRrZUU8Aq8cKTUEK5CO4aWogmiI&#10;3ZpiMhqdFg2EygeQKka6ve6UfJH5tVYS77WOCpkpOfmG+Rvyd5W+xeJCzF+C8Ota9m6If/DCitrR&#10;o3uqa4GCbUL9B5WtZYAIGo8k2AK0rqXKMVA049GbaB7XwqscCyUn+n2a4v+jlXfbh8DqquRUKCcs&#10;lehJtcg+Q8vOU3YaH+cEevQEw5auqcrDfaTLFHSrg01/CoeRnvK82+c2kclkdDw5np1NOZOkm8ym&#10;E5KJvni19iHiFwWWJaHkgWqXUyq2txE76ABJjzm4qY3J9TOONSU/PZ6OssFeQ+TGJazKndDTpIg6&#10;z7OEO6MSxrhvSlMmcgDpIvegujKBbQV1j5BSOcyxZ15CJ5QmJ95j2ONfvXqPcRfH8DI43Bvb2kHI&#10;0b9xu/oxuKw7POX8IO4kYrtq+0qvoNpRoQN0gxK9vKmpGrci4oMINBlUW5p2vKePNkBZh17ibA3h&#10;19/uE54alrScNTRpJY8/NyIozsxXR608G5+cpNHMh5Pp2YQO4VCzOtS4jb0CKseY9oqXWUx4NIOo&#10;A9hnWgrL9CqphJP0dslxEK+wm39aKlItlxlEw+gF3rpHLxN1qk7qtaf2WQTfNyRSK9/BMJNi/qYv&#10;O2yydLDcIOg6N21KcJfVPvE0yLnt+6WTNsXhOaNeV+PiNwAAAP//AwBQSwMEFAAGAAgAAAAhAHDJ&#10;LarhAAAACQEAAA8AAABkcnMvZG93bnJldi54bWxMj8FOwzAMhu9IvENkJG5bsgBj65pOU6UJCcFh&#10;YxduaZO1FYlTmmwrPD3mBCfL8qff35+vR+/Y2Q6xC6hgNhXALNbBdNgoOLxtJwtgMWk02gW0Cr5s&#10;hHVxfZXrzIQL7ux5nxpGIRgzraBNqc84j3VrvY7T0Fuk2zEMXidah4abQV8o3DsuhZhzrzukD63u&#10;bdna+mN/8gqey+2r3lXSL75d+fRy3PSfh/cHpW5vxs0KWLJj+oPhV5/UoSCnKpzQROYUPM7kHaEK&#10;JnOaBCyloC6VgnshgRc5/9+g+AEAAP//AwBQSwECLQAUAAYACAAAACEAtoM4kv4AAADhAQAAEwAA&#10;AAAAAAAAAAAAAAAAAAAAW0NvbnRlbnRfVHlwZXNdLnhtbFBLAQItABQABgAIAAAAIQA4/SH/1gAA&#10;AJQBAAALAAAAAAAAAAAAAAAAAC8BAABfcmVscy8ucmVsc1BLAQItABQABgAIAAAAIQBCpM/WfAIA&#10;AGIFAAAOAAAAAAAAAAAAAAAAAC4CAABkcnMvZTJvRG9jLnhtbFBLAQItABQABgAIAAAAIQBwyS2q&#10;4QAAAAkBAAAPAAAAAAAAAAAAAAAAANYEAABkcnMvZG93bnJldi54bWxQSwUGAAAAAAQABADzAAAA&#10;5AUAAAAA&#10;" filled="f" stroked="f" strokeweight=".5pt">
              <v:textbox>
                <w:txbxContent>
                  <w:p w:rsidR="007432E3" w:rsidRPr="00F36BEB" w:rsidRDefault="007432E3" w:rsidP="005C2F9E">
                    <w:pPr>
                      <w:pStyle w:val="Footer"/>
                      <w:jc w:val="right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F36BEB">
                      <w:rPr>
                        <w:rFonts w:asciiTheme="minorHAnsi" w:hAnsiTheme="minorHAnsi"/>
                        <w:sz w:val="18"/>
                        <w:szCs w:val="18"/>
                      </w:rPr>
                      <w:t>Page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r w:rsidRPr="00B31849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fldChar w:fldCharType="begin"/>
                    </w:r>
                    <w:r w:rsidRPr="00B31849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B31849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fldChar w:fldCharType="separate"/>
                    </w:r>
                    <w:r w:rsidR="00744E2D">
                      <w:rPr>
                        <w:rFonts w:asciiTheme="minorHAnsi" w:hAnsiTheme="minorHAnsi"/>
                        <w:bCs/>
                        <w:noProof/>
                        <w:sz w:val="18"/>
                        <w:szCs w:val="18"/>
                      </w:rPr>
                      <w:t>4</w:t>
                    </w:r>
                    <w:r w:rsidRPr="00B31849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fldChar w:fldCharType="end"/>
                    </w:r>
                    <w:r w:rsidRPr="00F36BEB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of </w:t>
                    </w:r>
                    <w:r w:rsidRPr="00F36BEB">
                      <w:rPr>
                        <w:rFonts w:asciiTheme="minorHAnsi" w:hAnsiTheme="minorHAns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F36BEB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instrText xml:space="preserve"> NUMPAGES  </w:instrText>
                    </w:r>
                    <w:r w:rsidRPr="00F36BEB">
                      <w:rPr>
                        <w:rFonts w:asciiTheme="minorHAnsi" w:hAnsi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744E2D">
                      <w:rPr>
                        <w:rFonts w:asciiTheme="minorHAnsi" w:hAnsiTheme="minorHAnsi"/>
                        <w:bCs/>
                        <w:noProof/>
                        <w:sz w:val="18"/>
                        <w:szCs w:val="18"/>
                      </w:rPr>
                      <w:t>8</w:t>
                    </w:r>
                    <w:r w:rsidRPr="00F36BEB">
                      <w:rPr>
                        <w:rFonts w:asciiTheme="minorHAnsi" w:hAnsi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sz w:val="18"/>
        <w:szCs w:val="18"/>
      </w:rPr>
      <w:t xml:space="preserve">PBO activity report – </w:t>
    </w:r>
    <w:r w:rsidR="00DC430D">
      <w:rPr>
        <w:rFonts w:asciiTheme="minorHAnsi" w:hAnsiTheme="minorHAnsi"/>
        <w:sz w:val="18"/>
        <w:szCs w:val="18"/>
      </w:rPr>
      <w:t>17 May</w:t>
    </w:r>
    <w:r w:rsidR="00BE0BBB">
      <w:rPr>
        <w:rFonts w:asciiTheme="minorHAnsi" w:hAnsiTheme="minorHAnsi"/>
        <w:sz w:val="18"/>
        <w:szCs w:val="18"/>
      </w:rPr>
      <w:t xml:space="preserve"> </w:t>
    </w:r>
    <w:r>
      <w:rPr>
        <w:rFonts w:asciiTheme="minorHAnsi" w:hAnsiTheme="minorHAnsi"/>
        <w:sz w:val="18"/>
        <w:szCs w:val="18"/>
      </w:rPr>
      <w:t>201</w:t>
    </w:r>
    <w:r w:rsidR="00704DD2">
      <w:rPr>
        <w:rFonts w:asciiTheme="minorHAnsi" w:hAnsiTheme="minorHAnsi"/>
        <w:sz w:val="18"/>
        <w:szCs w:val="18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E3" w:rsidRPr="00F36BEB" w:rsidRDefault="007432E3" w:rsidP="000E3775">
    <w:pPr>
      <w:pStyle w:val="Footer"/>
      <w:pBdr>
        <w:top w:val="single" w:sz="4" w:space="1" w:color="2B3B5F"/>
      </w:pBdr>
      <w:tabs>
        <w:tab w:val="clear" w:pos="9026"/>
        <w:tab w:val="right" w:pos="9498"/>
      </w:tabs>
      <w:rPr>
        <w:rFonts w:asciiTheme="minorHAnsi" w:hAnsiTheme="minorHAnsi"/>
        <w:sz w:val="18"/>
        <w:szCs w:val="18"/>
      </w:rPr>
    </w:pPr>
    <w:r w:rsidRPr="00F36BEB">
      <w:rPr>
        <w:rFonts w:asciiTheme="minorHAnsi" w:hAnsiTheme="minorHAnsi"/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9D035A" wp14:editId="0A965BC8">
              <wp:simplePos x="0" y="0"/>
              <wp:positionH relativeFrom="column">
                <wp:posOffset>7649936</wp:posOffset>
              </wp:positionH>
              <wp:positionV relativeFrom="paragraph">
                <wp:posOffset>-40005</wp:posOffset>
              </wp:positionV>
              <wp:extent cx="1323975" cy="295275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32E3" w:rsidRPr="00F36BEB" w:rsidRDefault="007432E3" w:rsidP="00DB4D34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F36BEB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Page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31849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31849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B31849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44E2D">
                            <w:rPr>
                              <w:rFonts w:asciiTheme="minorHAnsi" w:hAnsiTheme="minorHAnsi"/>
                              <w:bCs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 w:rsidRPr="00B31849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F36BEB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F36BEB">
                            <w:rPr>
                              <w:rFonts w:asciiTheme="minorHAnsi" w:hAnsiTheme="minorHAnsi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36BEB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Pr="00F36BEB">
                            <w:rPr>
                              <w:rFonts w:asciiTheme="minorHAnsi" w:hAnsiTheme="minorHAnsi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44E2D">
                            <w:rPr>
                              <w:rFonts w:asciiTheme="minorHAnsi" w:hAnsiTheme="minorHAnsi"/>
                              <w:bCs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 w:rsidRPr="00F36BEB">
                            <w:rPr>
                              <w:rFonts w:asciiTheme="minorHAnsi" w:hAnsiTheme="minorHAnsi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602.35pt;margin-top:-3.15pt;width:104.2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2RvfwIAAGsFAAAOAAAAZHJzL2Uyb0RvYy54bWysVE1PGzEQvVfqf7B8L5sEQkvEBqUgqkoI&#10;UKHi7HhtsqrX49pOsumv77N3N0S0F6pedsczb8bz8cbnF21j2Eb5UJMt+fhoxJmykqraPpf8++P1&#10;h0+chShsJQxZVfKdCvxi/v7d+dbN1IRWZCrlGYLYMNu6kq9idLOiCHKlGhGOyCkLoybfiIijfy4q&#10;L7aI3phiMhqdFlvylfMkVQjQXnVGPs/xtVYy3mkdVGSm5Mgt5q/P32X6FvNzMXv2wq1q2ach/iGL&#10;RtQWl+5DXYko2NrXf4RqaukpkI5HkpqCtK6lyjWgmvHoVTUPK+FUrgXNCW7fpvD/wsrbzb1ndYXZ&#10;jTmzosGMHlUb2WdqGVToz9aFGWAPDsDYQg/soA9QprJb7Zv0R0EMdnR6t+9uiiaT0/Hk+OzjlDMJ&#10;2+RsOoGM8MWLt/MhflHUsCSU3GN6ualicxNiBx0g6TJL17UxeYLGsm3JT4+no+ywtyC4sQmrMhf6&#10;MKmiLvMsxZ1RCWPsN6XRi1xAUmQWqkvj2UaAP0JKZWOuPccFOqE0kniLY49/yeotzl0dw81k4965&#10;qS35XP2rtKsfQ8q6w6PnB3UnMbbLtiPBMNglVTvM21O3McHJ6xpDuREh3guPFcGIsfbxDh9tCM2n&#10;XuJsRf7X3/QJD+bCytkWK1fy8HMtvOLMfLXg9Nn45CTtaD6cTD9OcPCHluWhxa6bS8JUQFtkl8WE&#10;j2YQtafmCa/DIt0Kk7ASd5c8DuJl7B4CvC5SLRYZhK10It7YBydT6DSkRLnH9kl41/MygtG3NCyn&#10;mL2iZ4dNnpYW60i6ztxNfe662vcfG53Z378+6ck4PGfUyxs5/w0AAP//AwBQSwMEFAAGAAgAAAAh&#10;AM4EJrfiAAAACwEAAA8AAABkcnMvZG93bnJldi54bWxMj8FuwjAQRO+V+g/WVuoNbExKUYiDUCRU&#10;qWoPUC7cNvGSRI3tNDaQ9utrTu1xtE8zb7P1aDp2ocG3ziqYTQUwspXTra0VHD62kyUwH9Bq7Jwl&#10;Bd/kYZ3f32WYane1O7rsQ81iifUpKmhC6FPOfdWQQT91Pdl4O7nBYIhxqLke8BrLTcelEAtusLVx&#10;ocGeioaqz/3ZKHgttu+4K6VZ/nTFy9tp038djk9KPT6MmxWwQGP4g+GmH9Uhj06lO1vtWRezFMlz&#10;ZBVMFnNgNyKZzSWwUkEiJPA84/9/yH8BAAD//wMAUEsBAi0AFAAGAAgAAAAhALaDOJL+AAAA4QEA&#10;ABMAAAAAAAAAAAAAAAAAAAAAAFtDb250ZW50X1R5cGVzXS54bWxQSwECLQAUAAYACAAAACEAOP0h&#10;/9YAAACUAQAACwAAAAAAAAAAAAAAAAAvAQAAX3JlbHMvLnJlbHNQSwECLQAUAAYACAAAACEAdANk&#10;b38CAABrBQAADgAAAAAAAAAAAAAAAAAuAgAAZHJzL2Uyb0RvYy54bWxQSwECLQAUAAYACAAAACEA&#10;zgQmt+IAAAALAQAADwAAAAAAAAAAAAAAAADZBAAAZHJzL2Rvd25yZXYueG1sUEsFBgAAAAAEAAQA&#10;8wAAAOgFAAAAAA==&#10;" filled="f" stroked="f" strokeweight=".5pt">
              <v:textbox>
                <w:txbxContent>
                  <w:p w:rsidR="007432E3" w:rsidRPr="00F36BEB" w:rsidRDefault="007432E3" w:rsidP="00DB4D34">
                    <w:pPr>
                      <w:pStyle w:val="Footer"/>
                      <w:jc w:val="right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F36BEB">
                      <w:rPr>
                        <w:rFonts w:asciiTheme="minorHAnsi" w:hAnsiTheme="minorHAnsi"/>
                        <w:sz w:val="18"/>
                        <w:szCs w:val="18"/>
                      </w:rPr>
                      <w:t>Page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r w:rsidRPr="00B31849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fldChar w:fldCharType="begin"/>
                    </w:r>
                    <w:r w:rsidRPr="00B31849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B31849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fldChar w:fldCharType="separate"/>
                    </w:r>
                    <w:r w:rsidR="00744E2D">
                      <w:rPr>
                        <w:rFonts w:asciiTheme="minorHAnsi" w:hAnsiTheme="minorHAnsi"/>
                        <w:bCs/>
                        <w:noProof/>
                        <w:sz w:val="18"/>
                        <w:szCs w:val="18"/>
                      </w:rPr>
                      <w:t>7</w:t>
                    </w:r>
                    <w:r w:rsidRPr="00B31849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fldChar w:fldCharType="end"/>
                    </w:r>
                    <w:r w:rsidRPr="00F36BEB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of </w:t>
                    </w:r>
                    <w:r w:rsidRPr="00F36BEB">
                      <w:rPr>
                        <w:rFonts w:asciiTheme="minorHAnsi" w:hAnsiTheme="minorHAns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F36BEB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instrText xml:space="preserve"> NUMPAGES  </w:instrText>
                    </w:r>
                    <w:r w:rsidRPr="00F36BEB">
                      <w:rPr>
                        <w:rFonts w:asciiTheme="minorHAnsi" w:hAnsi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744E2D">
                      <w:rPr>
                        <w:rFonts w:asciiTheme="minorHAnsi" w:hAnsiTheme="minorHAnsi"/>
                        <w:bCs/>
                        <w:noProof/>
                        <w:sz w:val="18"/>
                        <w:szCs w:val="18"/>
                      </w:rPr>
                      <w:t>7</w:t>
                    </w:r>
                    <w:r w:rsidRPr="00F36BEB">
                      <w:rPr>
                        <w:rFonts w:asciiTheme="minorHAnsi" w:hAnsi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sz w:val="18"/>
        <w:szCs w:val="18"/>
      </w:rPr>
      <w:t>PBO activity report –</w:t>
    </w:r>
    <w:r w:rsidR="00E60E7C">
      <w:rPr>
        <w:rFonts w:asciiTheme="minorHAnsi" w:hAnsiTheme="minorHAnsi"/>
        <w:sz w:val="18"/>
        <w:szCs w:val="18"/>
      </w:rPr>
      <w:t xml:space="preserve"> </w:t>
    </w:r>
    <w:r w:rsidR="009B41DC">
      <w:rPr>
        <w:rFonts w:asciiTheme="minorHAnsi" w:hAnsiTheme="minorHAnsi"/>
        <w:sz w:val="18"/>
        <w:szCs w:val="18"/>
      </w:rPr>
      <w:t>17 May</w:t>
    </w:r>
    <w:r w:rsidR="00E60E7C">
      <w:rPr>
        <w:rFonts w:asciiTheme="minorHAnsi" w:hAnsiTheme="minorHAnsi"/>
        <w:sz w:val="18"/>
        <w:szCs w:val="18"/>
      </w:rPr>
      <w:t xml:space="preserve">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76" w:rsidRPr="00F36BEB" w:rsidRDefault="00927976" w:rsidP="000E3775">
    <w:pPr>
      <w:pStyle w:val="Footer"/>
      <w:pBdr>
        <w:top w:val="single" w:sz="4" w:space="1" w:color="2B3B5F"/>
      </w:pBdr>
      <w:tabs>
        <w:tab w:val="clear" w:pos="9026"/>
        <w:tab w:val="right" w:pos="9498"/>
      </w:tabs>
      <w:rPr>
        <w:rFonts w:asciiTheme="minorHAnsi" w:hAnsiTheme="minorHAnsi"/>
        <w:sz w:val="18"/>
        <w:szCs w:val="18"/>
      </w:rPr>
    </w:pPr>
    <w:r w:rsidRPr="00F36BEB">
      <w:rPr>
        <w:rFonts w:asciiTheme="minorHAnsi" w:hAnsiTheme="minorHAnsi"/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4FBCC5" wp14:editId="2E099C92">
              <wp:simplePos x="0" y="0"/>
              <wp:positionH relativeFrom="column">
                <wp:posOffset>4524284</wp:posOffset>
              </wp:positionH>
              <wp:positionV relativeFrom="paragraph">
                <wp:posOffset>-40005</wp:posOffset>
              </wp:positionV>
              <wp:extent cx="1323975" cy="295275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7976" w:rsidRPr="00F36BEB" w:rsidRDefault="00927976" w:rsidP="00DB4D34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F36BEB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Page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31849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31849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B31849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44E2D">
                            <w:rPr>
                              <w:rFonts w:asciiTheme="minorHAnsi" w:hAnsiTheme="minorHAnsi"/>
                              <w:bCs/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 w:rsidRPr="00B31849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F36BEB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F36BEB">
                            <w:rPr>
                              <w:rFonts w:asciiTheme="minorHAnsi" w:hAnsiTheme="minorHAnsi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36BEB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Pr="00F36BEB">
                            <w:rPr>
                              <w:rFonts w:asciiTheme="minorHAnsi" w:hAnsiTheme="minorHAnsi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44E2D">
                            <w:rPr>
                              <w:rFonts w:asciiTheme="minorHAnsi" w:hAnsiTheme="minorHAnsi"/>
                              <w:bCs/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 w:rsidRPr="00F36BEB">
                            <w:rPr>
                              <w:rFonts w:asciiTheme="minorHAnsi" w:hAnsiTheme="minorHAnsi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356.25pt;margin-top:-3.15pt;width:104.2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pcfwIAAGsFAAAOAAAAZHJzL2Uyb0RvYy54bWysVF9v2jAQf5+072D5fQRSaFfUUDEqpkmo&#10;rVamPhvHLtFsn2cbEvbpe3YSitheOu3FPt/97nz/b24brcheOF+BKehoMKREGA5lZV4K+mO9/PSZ&#10;Eh+YKZkCIwp6EJ7ezj5+uKntVOSwBVUKR9CI8dPaFnQbgp1mmedboZkfgBUGhRKcZgGf7iUrHavR&#10;ulZZPhxeZjW40jrgwnvk3rVCOkv2pRQ8PEjpRSCqoOhbSKdL5yae2eyGTV8cs9uKd26wf/BCs8rg&#10;p0dTdywwsnPVH6Z0xR14kGHAQWcgZcVFigGjGQ3PonnaMitSLJgcb49p8v/PLL/fPzpSlVi7MSWG&#10;aazRWjSBfIGGIAvzU1s/RdiTRWBokI/Ynu+RGcNupNPxxoAIyjHTh2N2ozUelS7yi+urCSUcZfn1&#10;JEcazWdv2tb58FWAJpEoqMPqpaSy/cqHFtpD4mcGlpVSqYLKkLqglxeTYVI4StC4MhErUi90ZmJE&#10;reeJCgclIkaZ70JiLlIAkZG6UCyUI3uG/cM4Fyak2JNdREeURCfeo9jh37x6j3IbR/8zmHBU1pUB&#10;l6I/c7v82bssWzzm/CTuSIZm06QmyPvCbqA8YL0dtBPjLV9WWJQV8+GRORwRLDGOfXjAQyrA5ENH&#10;UbIF9/tv/IjHzkUpJTWOXEH9rx1zghL1zWBPX4/G4zij6TGeXOX4cKeSzanE7PQCsCojXDCWJzLi&#10;g+pJ6UA/43aYx19RxAzHvwsaenIR2kWA24WL+TyBcCotCyvzZHk0HYsUW27dPDNnu74M2NH30A8n&#10;m561Z4uNmgbmuwCySr0b89xmtcs/TnTq/m77xJVx+k6otx05ewUAAP//AwBQSwMEFAAGAAgAAAAh&#10;AKtz6pXiAAAACQEAAA8AAABkcnMvZG93bnJldi54bWxMj8FOwzAQRO9I/IO1SNxaJ4aWNsSpqkgV&#10;EqKHll56c+JtEmGvQ+y2ga/HnOC42qeZN/lqtIZdcPCdIwnpNAGGVDvdUSPh8L6ZLID5oEgr4wgl&#10;fKGHVXF7k6tMuyvt8LIPDYsh5DMloQ2hzzj3dYtW+anrkeLv5AarQjyHhutBXWO4NVwkyZxb1VFs&#10;aFWPZYv1x/5sJbyWm63aVcIuvk358nZa95+H40zK+7tx/Qws4Bj+YPjVj+pQRKfKnUl7ZiQ8pWIW&#10;UQmT+QOwCCxFGsdVEh4TAbzI+f8FxQ8AAAD//wMAUEsBAi0AFAAGAAgAAAAhALaDOJL+AAAA4QEA&#10;ABMAAAAAAAAAAAAAAAAAAAAAAFtDb250ZW50X1R5cGVzXS54bWxQSwECLQAUAAYACAAAACEAOP0h&#10;/9YAAACUAQAACwAAAAAAAAAAAAAAAAAvAQAAX3JlbHMvLnJlbHNQSwECLQAUAAYACAAAACEArX5a&#10;XH8CAABrBQAADgAAAAAAAAAAAAAAAAAuAgAAZHJzL2Uyb0RvYy54bWxQSwECLQAUAAYACAAAACEA&#10;q3PqleIAAAAJAQAADwAAAAAAAAAAAAAAAADZBAAAZHJzL2Rvd25yZXYueG1sUEsFBgAAAAAEAAQA&#10;8wAAAOgFAAAAAA==&#10;" filled="f" stroked="f" strokeweight=".5pt">
              <v:textbox>
                <w:txbxContent>
                  <w:p w:rsidR="00927976" w:rsidRPr="00F36BEB" w:rsidRDefault="00927976" w:rsidP="00DB4D34">
                    <w:pPr>
                      <w:pStyle w:val="Footer"/>
                      <w:jc w:val="right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F36BEB">
                      <w:rPr>
                        <w:rFonts w:asciiTheme="minorHAnsi" w:hAnsiTheme="minorHAnsi"/>
                        <w:sz w:val="18"/>
                        <w:szCs w:val="18"/>
                      </w:rPr>
                      <w:t>Page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r w:rsidRPr="00B31849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fldChar w:fldCharType="begin"/>
                    </w:r>
                    <w:r w:rsidRPr="00B31849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B31849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fldChar w:fldCharType="separate"/>
                    </w:r>
                    <w:r w:rsidR="00744E2D">
                      <w:rPr>
                        <w:rFonts w:asciiTheme="minorHAnsi" w:hAnsiTheme="minorHAnsi"/>
                        <w:bCs/>
                        <w:noProof/>
                        <w:sz w:val="18"/>
                        <w:szCs w:val="18"/>
                      </w:rPr>
                      <w:t>8</w:t>
                    </w:r>
                    <w:r w:rsidRPr="00B31849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fldChar w:fldCharType="end"/>
                    </w:r>
                    <w:r w:rsidRPr="00F36BEB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of </w:t>
                    </w:r>
                    <w:r w:rsidRPr="00F36BEB">
                      <w:rPr>
                        <w:rFonts w:asciiTheme="minorHAnsi" w:hAnsiTheme="minorHAns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F36BEB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instrText xml:space="preserve"> NUMPAGES  </w:instrText>
                    </w:r>
                    <w:r w:rsidRPr="00F36BEB">
                      <w:rPr>
                        <w:rFonts w:asciiTheme="minorHAnsi" w:hAnsi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744E2D">
                      <w:rPr>
                        <w:rFonts w:asciiTheme="minorHAnsi" w:hAnsiTheme="minorHAnsi"/>
                        <w:bCs/>
                        <w:noProof/>
                        <w:sz w:val="18"/>
                        <w:szCs w:val="18"/>
                      </w:rPr>
                      <w:t>8</w:t>
                    </w:r>
                    <w:r w:rsidRPr="00F36BEB">
                      <w:rPr>
                        <w:rFonts w:asciiTheme="minorHAnsi" w:hAnsi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sz w:val="18"/>
        <w:szCs w:val="18"/>
      </w:rPr>
      <w:t>PBO activity report –</w:t>
    </w:r>
    <w:r w:rsidR="00075898">
      <w:rPr>
        <w:rFonts w:asciiTheme="minorHAnsi" w:hAnsiTheme="minorHAnsi"/>
        <w:sz w:val="18"/>
        <w:szCs w:val="18"/>
      </w:rPr>
      <w:t xml:space="preserve"> </w:t>
    </w:r>
    <w:r w:rsidR="009B41DC">
      <w:rPr>
        <w:rFonts w:asciiTheme="minorHAnsi" w:hAnsiTheme="minorHAnsi"/>
        <w:sz w:val="18"/>
        <w:szCs w:val="18"/>
      </w:rPr>
      <w:t>17 May</w:t>
    </w:r>
    <w:r w:rsidR="00E60E7C">
      <w:rPr>
        <w:rFonts w:asciiTheme="minorHAnsi" w:hAnsiTheme="minorHAnsi"/>
        <w:sz w:val="18"/>
        <w:szCs w:val="18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57B" w:rsidRDefault="0038557B" w:rsidP="00770BB2">
      <w:pPr>
        <w:spacing w:after="0"/>
      </w:pPr>
      <w:r>
        <w:separator/>
      </w:r>
    </w:p>
  </w:footnote>
  <w:footnote w:type="continuationSeparator" w:id="0">
    <w:p w:rsidR="0038557B" w:rsidRDefault="0038557B" w:rsidP="00770B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044"/>
    <w:multiLevelType w:val="hybridMultilevel"/>
    <w:tmpl w:val="7FA683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AD0F4B"/>
    <w:multiLevelType w:val="hybridMultilevel"/>
    <w:tmpl w:val="B9D80358"/>
    <w:lvl w:ilvl="0" w:tplc="464E7A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C4A01"/>
    <w:multiLevelType w:val="hybridMultilevel"/>
    <w:tmpl w:val="26D41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73578"/>
    <w:multiLevelType w:val="multilevel"/>
    <w:tmpl w:val="03F415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65B39"/>
    <w:multiLevelType w:val="hybridMultilevel"/>
    <w:tmpl w:val="D8164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C0C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938BF"/>
    <w:multiLevelType w:val="hybridMultilevel"/>
    <w:tmpl w:val="4956EF72"/>
    <w:lvl w:ilvl="0" w:tplc="7E1210E8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8246B"/>
    <w:multiLevelType w:val="hybridMultilevel"/>
    <w:tmpl w:val="A4E2D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E23CB"/>
    <w:multiLevelType w:val="hybridMultilevel"/>
    <w:tmpl w:val="DF5A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D673B"/>
    <w:multiLevelType w:val="hybridMultilevel"/>
    <w:tmpl w:val="16D06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71B2F"/>
    <w:multiLevelType w:val="hybridMultilevel"/>
    <w:tmpl w:val="3B6043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96D49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DD0D83"/>
    <w:multiLevelType w:val="hybridMultilevel"/>
    <w:tmpl w:val="33084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94724"/>
    <w:multiLevelType w:val="hybridMultilevel"/>
    <w:tmpl w:val="D1CAB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008AA"/>
    <w:multiLevelType w:val="hybridMultilevel"/>
    <w:tmpl w:val="063C8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A7F94"/>
    <w:multiLevelType w:val="hybridMultilevel"/>
    <w:tmpl w:val="863C5212"/>
    <w:lvl w:ilvl="0" w:tplc="57B4053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E19AC"/>
    <w:multiLevelType w:val="singleLevel"/>
    <w:tmpl w:val="07664886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6"/>
      </w:rPr>
    </w:lvl>
  </w:abstractNum>
  <w:abstractNum w:abstractNumId="15">
    <w:nsid w:val="3F212745"/>
    <w:multiLevelType w:val="hybridMultilevel"/>
    <w:tmpl w:val="4716A98A"/>
    <w:lvl w:ilvl="0" w:tplc="4A0617CC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084943"/>
    <w:multiLevelType w:val="hybridMultilevel"/>
    <w:tmpl w:val="153608E8"/>
    <w:lvl w:ilvl="0" w:tplc="AC18916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DE8A6A">
      <w:start w:val="1"/>
      <w:numFmt w:val="bullet"/>
      <w:pStyle w:val="Bullet2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7302A4CC">
      <w:start w:val="1"/>
      <w:numFmt w:val="bullet"/>
      <w:pStyle w:val="Bullet3"/>
      <w:lvlText w:val=":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1E5C3642">
      <w:start w:val="1"/>
      <w:numFmt w:val="bullet"/>
      <w:pStyle w:val="Bullet4"/>
      <w:lvlText w:val="=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 w:tplc="F5B02834">
      <w:start w:val="1"/>
      <w:numFmt w:val="bullet"/>
      <w:pStyle w:val="Bullet5"/>
      <w:lvlText w:val="+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5A522F"/>
    <w:multiLevelType w:val="hybridMultilevel"/>
    <w:tmpl w:val="3C783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DD0A5F"/>
    <w:multiLevelType w:val="hybridMultilevel"/>
    <w:tmpl w:val="4566B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F21FBE"/>
    <w:multiLevelType w:val="hybridMultilevel"/>
    <w:tmpl w:val="C7E66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F45B2D"/>
    <w:multiLevelType w:val="hybridMultilevel"/>
    <w:tmpl w:val="09A2C534"/>
    <w:lvl w:ilvl="0" w:tplc="6D1C3F3A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>
    <w:nsid w:val="53BD4790"/>
    <w:multiLevelType w:val="hybridMultilevel"/>
    <w:tmpl w:val="19A2E212"/>
    <w:lvl w:ilvl="0" w:tplc="B4DCEC4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DA3198"/>
    <w:multiLevelType w:val="hybridMultilevel"/>
    <w:tmpl w:val="F3C2FB10"/>
    <w:lvl w:ilvl="0" w:tplc="437C41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12496F"/>
    <w:multiLevelType w:val="hybridMultilevel"/>
    <w:tmpl w:val="C17AE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C0C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16"/>
  </w:num>
  <w:num w:numId="4">
    <w:abstractNumId w:val="9"/>
  </w:num>
  <w:num w:numId="5">
    <w:abstractNumId w:val="8"/>
  </w:num>
  <w:num w:numId="6">
    <w:abstractNumId w:val="18"/>
  </w:num>
  <w:num w:numId="7">
    <w:abstractNumId w:val="0"/>
  </w:num>
  <w:num w:numId="8">
    <w:abstractNumId w:val="17"/>
  </w:num>
  <w:num w:numId="9">
    <w:abstractNumId w:val="19"/>
  </w:num>
  <w:num w:numId="10">
    <w:abstractNumId w:val="6"/>
  </w:num>
  <w:num w:numId="11">
    <w:abstractNumId w:val="11"/>
  </w:num>
  <w:num w:numId="12">
    <w:abstractNumId w:val="4"/>
  </w:num>
  <w:num w:numId="13">
    <w:abstractNumId w:val="23"/>
  </w:num>
  <w:num w:numId="14">
    <w:abstractNumId w:val="13"/>
  </w:num>
  <w:num w:numId="15">
    <w:abstractNumId w:val="2"/>
  </w:num>
  <w:num w:numId="16">
    <w:abstractNumId w:val="10"/>
  </w:num>
  <w:num w:numId="17">
    <w:abstractNumId w:val="16"/>
  </w:num>
  <w:num w:numId="18">
    <w:abstractNumId w:val="7"/>
  </w:num>
  <w:num w:numId="19">
    <w:abstractNumId w:val="12"/>
  </w:num>
  <w:num w:numId="20">
    <w:abstractNumId w:val="22"/>
  </w:num>
  <w:num w:numId="21">
    <w:abstractNumId w:val="21"/>
  </w:num>
  <w:num w:numId="22">
    <w:abstractNumId w:val="20"/>
  </w:num>
  <w:num w:numId="23">
    <w:abstractNumId w:val="1"/>
  </w:num>
  <w:num w:numId="24">
    <w:abstractNumId w:val="5"/>
  </w:num>
  <w:num w:numId="25">
    <w:abstractNumId w:val="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20"/>
  <w:characterSpacingControl w:val="doNotCompress"/>
  <w:hdrShapeDefaults>
    <o:shapedefaults v:ext="edit" spidmax="71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C7"/>
    <w:rsid w:val="00001C33"/>
    <w:rsid w:val="00005257"/>
    <w:rsid w:val="0000755F"/>
    <w:rsid w:val="0001026A"/>
    <w:rsid w:val="00012ABB"/>
    <w:rsid w:val="00013888"/>
    <w:rsid w:val="0001404D"/>
    <w:rsid w:val="00016221"/>
    <w:rsid w:val="00016253"/>
    <w:rsid w:val="00017FF1"/>
    <w:rsid w:val="00023C9A"/>
    <w:rsid w:val="00024E08"/>
    <w:rsid w:val="00030032"/>
    <w:rsid w:val="00030C3E"/>
    <w:rsid w:val="00035BEF"/>
    <w:rsid w:val="00036023"/>
    <w:rsid w:val="00041495"/>
    <w:rsid w:val="00043F5E"/>
    <w:rsid w:val="000444E8"/>
    <w:rsid w:val="000464ED"/>
    <w:rsid w:val="00047F1B"/>
    <w:rsid w:val="000543DC"/>
    <w:rsid w:val="000547E2"/>
    <w:rsid w:val="000568B4"/>
    <w:rsid w:val="0007220A"/>
    <w:rsid w:val="00072B17"/>
    <w:rsid w:val="0007310B"/>
    <w:rsid w:val="00073713"/>
    <w:rsid w:val="000743AC"/>
    <w:rsid w:val="000748A6"/>
    <w:rsid w:val="00075898"/>
    <w:rsid w:val="00077AE6"/>
    <w:rsid w:val="00077F57"/>
    <w:rsid w:val="00082E34"/>
    <w:rsid w:val="000859A2"/>
    <w:rsid w:val="0008769A"/>
    <w:rsid w:val="00093D64"/>
    <w:rsid w:val="000957A1"/>
    <w:rsid w:val="00096A78"/>
    <w:rsid w:val="00096F8F"/>
    <w:rsid w:val="000972BF"/>
    <w:rsid w:val="000A0B62"/>
    <w:rsid w:val="000A214A"/>
    <w:rsid w:val="000A241D"/>
    <w:rsid w:val="000A28C1"/>
    <w:rsid w:val="000A5B3D"/>
    <w:rsid w:val="000B288A"/>
    <w:rsid w:val="000B6429"/>
    <w:rsid w:val="000B6FE6"/>
    <w:rsid w:val="000C03A6"/>
    <w:rsid w:val="000C4681"/>
    <w:rsid w:val="000C4C73"/>
    <w:rsid w:val="000C4FC2"/>
    <w:rsid w:val="000D14D5"/>
    <w:rsid w:val="000D1793"/>
    <w:rsid w:val="000D5676"/>
    <w:rsid w:val="000E3775"/>
    <w:rsid w:val="000E73F0"/>
    <w:rsid w:val="000F0126"/>
    <w:rsid w:val="000F2752"/>
    <w:rsid w:val="000F5570"/>
    <w:rsid w:val="000F5904"/>
    <w:rsid w:val="000F6A98"/>
    <w:rsid w:val="000F74DB"/>
    <w:rsid w:val="0010051C"/>
    <w:rsid w:val="00100DF7"/>
    <w:rsid w:val="00103343"/>
    <w:rsid w:val="001036F8"/>
    <w:rsid w:val="001062D2"/>
    <w:rsid w:val="001074D8"/>
    <w:rsid w:val="00112379"/>
    <w:rsid w:val="0011504B"/>
    <w:rsid w:val="001244FE"/>
    <w:rsid w:val="001259CF"/>
    <w:rsid w:val="0012673C"/>
    <w:rsid w:val="0013142B"/>
    <w:rsid w:val="00133532"/>
    <w:rsid w:val="001345AD"/>
    <w:rsid w:val="0013536D"/>
    <w:rsid w:val="0013683A"/>
    <w:rsid w:val="00137B10"/>
    <w:rsid w:val="00140630"/>
    <w:rsid w:val="00140695"/>
    <w:rsid w:val="0014157F"/>
    <w:rsid w:val="00142FD4"/>
    <w:rsid w:val="00144E33"/>
    <w:rsid w:val="00146D64"/>
    <w:rsid w:val="00147379"/>
    <w:rsid w:val="00150BBB"/>
    <w:rsid w:val="0015221D"/>
    <w:rsid w:val="00152D5E"/>
    <w:rsid w:val="00154F36"/>
    <w:rsid w:val="0015675B"/>
    <w:rsid w:val="0015676F"/>
    <w:rsid w:val="00166823"/>
    <w:rsid w:val="00166E45"/>
    <w:rsid w:val="001711B0"/>
    <w:rsid w:val="001730E4"/>
    <w:rsid w:val="00174EE0"/>
    <w:rsid w:val="00175AAE"/>
    <w:rsid w:val="00175D63"/>
    <w:rsid w:val="00191F7C"/>
    <w:rsid w:val="0019225A"/>
    <w:rsid w:val="001B0274"/>
    <w:rsid w:val="001B1928"/>
    <w:rsid w:val="001B266A"/>
    <w:rsid w:val="001B5004"/>
    <w:rsid w:val="001B6FDF"/>
    <w:rsid w:val="001B7989"/>
    <w:rsid w:val="001B7C84"/>
    <w:rsid w:val="001C245F"/>
    <w:rsid w:val="001C2558"/>
    <w:rsid w:val="001C4137"/>
    <w:rsid w:val="001C7180"/>
    <w:rsid w:val="001C71EB"/>
    <w:rsid w:val="001D0629"/>
    <w:rsid w:val="001D1EBA"/>
    <w:rsid w:val="001E0836"/>
    <w:rsid w:val="001E1EE2"/>
    <w:rsid w:val="001E4C23"/>
    <w:rsid w:val="001E7335"/>
    <w:rsid w:val="001F17AD"/>
    <w:rsid w:val="001F4A57"/>
    <w:rsid w:val="001F5325"/>
    <w:rsid w:val="001F790F"/>
    <w:rsid w:val="00201E63"/>
    <w:rsid w:val="00201F77"/>
    <w:rsid w:val="0020200A"/>
    <w:rsid w:val="00204FC3"/>
    <w:rsid w:val="00205EC3"/>
    <w:rsid w:val="002069FE"/>
    <w:rsid w:val="00210255"/>
    <w:rsid w:val="00222276"/>
    <w:rsid w:val="00223815"/>
    <w:rsid w:val="00224675"/>
    <w:rsid w:val="002250E8"/>
    <w:rsid w:val="00226B70"/>
    <w:rsid w:val="00230AE2"/>
    <w:rsid w:val="00232336"/>
    <w:rsid w:val="0023571D"/>
    <w:rsid w:val="00235BFF"/>
    <w:rsid w:val="0023734D"/>
    <w:rsid w:val="00240CB2"/>
    <w:rsid w:val="00242999"/>
    <w:rsid w:val="0024486B"/>
    <w:rsid w:val="0024540B"/>
    <w:rsid w:val="00254CEE"/>
    <w:rsid w:val="002555D6"/>
    <w:rsid w:val="00255C1E"/>
    <w:rsid w:val="00256083"/>
    <w:rsid w:val="002565D1"/>
    <w:rsid w:val="00262C82"/>
    <w:rsid w:val="00263B04"/>
    <w:rsid w:val="00266714"/>
    <w:rsid w:val="00266A52"/>
    <w:rsid w:val="00277366"/>
    <w:rsid w:val="002818E2"/>
    <w:rsid w:val="0028359E"/>
    <w:rsid w:val="0029275E"/>
    <w:rsid w:val="002943E7"/>
    <w:rsid w:val="002A569E"/>
    <w:rsid w:val="002A56BE"/>
    <w:rsid w:val="002A5B63"/>
    <w:rsid w:val="002A5FC5"/>
    <w:rsid w:val="002A615C"/>
    <w:rsid w:val="002A6F27"/>
    <w:rsid w:val="002A7029"/>
    <w:rsid w:val="002A70A4"/>
    <w:rsid w:val="002B33CD"/>
    <w:rsid w:val="002B642C"/>
    <w:rsid w:val="002B68F0"/>
    <w:rsid w:val="002B7E32"/>
    <w:rsid w:val="002C0665"/>
    <w:rsid w:val="002C17A9"/>
    <w:rsid w:val="002C272E"/>
    <w:rsid w:val="002C389C"/>
    <w:rsid w:val="002C4B2A"/>
    <w:rsid w:val="002C5EB3"/>
    <w:rsid w:val="002C6574"/>
    <w:rsid w:val="002D2A2F"/>
    <w:rsid w:val="002D3148"/>
    <w:rsid w:val="002D4CCA"/>
    <w:rsid w:val="002E019A"/>
    <w:rsid w:val="002E0C0E"/>
    <w:rsid w:val="002E15C4"/>
    <w:rsid w:val="002E3D70"/>
    <w:rsid w:val="002E44EE"/>
    <w:rsid w:val="002F27AB"/>
    <w:rsid w:val="002F6577"/>
    <w:rsid w:val="002F73A7"/>
    <w:rsid w:val="002F7815"/>
    <w:rsid w:val="00300B75"/>
    <w:rsid w:val="003020C9"/>
    <w:rsid w:val="00302596"/>
    <w:rsid w:val="003054AE"/>
    <w:rsid w:val="0030595A"/>
    <w:rsid w:val="00310C2F"/>
    <w:rsid w:val="00313B97"/>
    <w:rsid w:val="00315623"/>
    <w:rsid w:val="00342FB9"/>
    <w:rsid w:val="00344B8D"/>
    <w:rsid w:val="00346A3F"/>
    <w:rsid w:val="00347044"/>
    <w:rsid w:val="00353D66"/>
    <w:rsid w:val="003553BD"/>
    <w:rsid w:val="00355FEB"/>
    <w:rsid w:val="00356E41"/>
    <w:rsid w:val="00357D9F"/>
    <w:rsid w:val="00365B05"/>
    <w:rsid w:val="00365BD8"/>
    <w:rsid w:val="003660A2"/>
    <w:rsid w:val="003672D5"/>
    <w:rsid w:val="00374E27"/>
    <w:rsid w:val="00383C33"/>
    <w:rsid w:val="0038557B"/>
    <w:rsid w:val="00392811"/>
    <w:rsid w:val="00392BA4"/>
    <w:rsid w:val="003939C7"/>
    <w:rsid w:val="00394A72"/>
    <w:rsid w:val="00395A4E"/>
    <w:rsid w:val="00395B9D"/>
    <w:rsid w:val="0039778D"/>
    <w:rsid w:val="003A55BF"/>
    <w:rsid w:val="003A70C5"/>
    <w:rsid w:val="003B1CA0"/>
    <w:rsid w:val="003B25B9"/>
    <w:rsid w:val="003C19AE"/>
    <w:rsid w:val="003C319A"/>
    <w:rsid w:val="003C324C"/>
    <w:rsid w:val="003C4528"/>
    <w:rsid w:val="003C4948"/>
    <w:rsid w:val="003D37D2"/>
    <w:rsid w:val="003E0916"/>
    <w:rsid w:val="003E397A"/>
    <w:rsid w:val="003E3AC3"/>
    <w:rsid w:val="003F010B"/>
    <w:rsid w:val="003F0BF7"/>
    <w:rsid w:val="003F352A"/>
    <w:rsid w:val="003F4483"/>
    <w:rsid w:val="003F451F"/>
    <w:rsid w:val="003F4CA6"/>
    <w:rsid w:val="00401559"/>
    <w:rsid w:val="004172DE"/>
    <w:rsid w:val="00421CB6"/>
    <w:rsid w:val="00422DD3"/>
    <w:rsid w:val="00426D27"/>
    <w:rsid w:val="00427B34"/>
    <w:rsid w:val="00431AF9"/>
    <w:rsid w:val="00437752"/>
    <w:rsid w:val="00437E21"/>
    <w:rsid w:val="00440916"/>
    <w:rsid w:val="004512C4"/>
    <w:rsid w:val="004536BA"/>
    <w:rsid w:val="00453A83"/>
    <w:rsid w:val="00454EA4"/>
    <w:rsid w:val="0045600F"/>
    <w:rsid w:val="0046029E"/>
    <w:rsid w:val="00462B99"/>
    <w:rsid w:val="0046565C"/>
    <w:rsid w:val="0046646B"/>
    <w:rsid w:val="00466A51"/>
    <w:rsid w:val="00466E04"/>
    <w:rsid w:val="004670EA"/>
    <w:rsid w:val="00467845"/>
    <w:rsid w:val="00467943"/>
    <w:rsid w:val="0047021D"/>
    <w:rsid w:val="00470907"/>
    <w:rsid w:val="00472A73"/>
    <w:rsid w:val="00473EE2"/>
    <w:rsid w:val="0047566C"/>
    <w:rsid w:val="0048170C"/>
    <w:rsid w:val="0048524C"/>
    <w:rsid w:val="00485CAD"/>
    <w:rsid w:val="00486DE7"/>
    <w:rsid w:val="00491308"/>
    <w:rsid w:val="0049189B"/>
    <w:rsid w:val="00492FE0"/>
    <w:rsid w:val="004931E7"/>
    <w:rsid w:val="004940D8"/>
    <w:rsid w:val="00495261"/>
    <w:rsid w:val="0049719C"/>
    <w:rsid w:val="004A68A3"/>
    <w:rsid w:val="004B6F4E"/>
    <w:rsid w:val="004C03BF"/>
    <w:rsid w:val="004C1A04"/>
    <w:rsid w:val="004C2CCC"/>
    <w:rsid w:val="004C5CA5"/>
    <w:rsid w:val="004C5D3F"/>
    <w:rsid w:val="004C6768"/>
    <w:rsid w:val="004D1FA3"/>
    <w:rsid w:val="004E05ED"/>
    <w:rsid w:val="004E3576"/>
    <w:rsid w:val="004F18BE"/>
    <w:rsid w:val="004F1A32"/>
    <w:rsid w:val="004F75CA"/>
    <w:rsid w:val="0050190A"/>
    <w:rsid w:val="005075D8"/>
    <w:rsid w:val="005076B6"/>
    <w:rsid w:val="00513538"/>
    <w:rsid w:val="00520230"/>
    <w:rsid w:val="005204AE"/>
    <w:rsid w:val="005205A7"/>
    <w:rsid w:val="00526B22"/>
    <w:rsid w:val="00527D41"/>
    <w:rsid w:val="0053082C"/>
    <w:rsid w:val="00532111"/>
    <w:rsid w:val="005323C2"/>
    <w:rsid w:val="00533F06"/>
    <w:rsid w:val="00534836"/>
    <w:rsid w:val="005427A7"/>
    <w:rsid w:val="00543268"/>
    <w:rsid w:val="005459E8"/>
    <w:rsid w:val="00551248"/>
    <w:rsid w:val="00555133"/>
    <w:rsid w:val="0055561D"/>
    <w:rsid w:val="00557CBC"/>
    <w:rsid w:val="0056062B"/>
    <w:rsid w:val="005626CD"/>
    <w:rsid w:val="00562D92"/>
    <w:rsid w:val="0056304F"/>
    <w:rsid w:val="00565EA9"/>
    <w:rsid w:val="0056649D"/>
    <w:rsid w:val="0056682B"/>
    <w:rsid w:val="00567D8C"/>
    <w:rsid w:val="0057163C"/>
    <w:rsid w:val="00572FD7"/>
    <w:rsid w:val="005832A6"/>
    <w:rsid w:val="005836D4"/>
    <w:rsid w:val="00584E69"/>
    <w:rsid w:val="0058651A"/>
    <w:rsid w:val="00595E1E"/>
    <w:rsid w:val="00596C26"/>
    <w:rsid w:val="00597592"/>
    <w:rsid w:val="00597C53"/>
    <w:rsid w:val="005A1A88"/>
    <w:rsid w:val="005A3D26"/>
    <w:rsid w:val="005A417A"/>
    <w:rsid w:val="005B0A14"/>
    <w:rsid w:val="005B1701"/>
    <w:rsid w:val="005B325D"/>
    <w:rsid w:val="005C025F"/>
    <w:rsid w:val="005C2F9E"/>
    <w:rsid w:val="005C51F9"/>
    <w:rsid w:val="005D002A"/>
    <w:rsid w:val="005D0921"/>
    <w:rsid w:val="005D0AF3"/>
    <w:rsid w:val="005D11FA"/>
    <w:rsid w:val="005D23BB"/>
    <w:rsid w:val="005E4E21"/>
    <w:rsid w:val="005E7470"/>
    <w:rsid w:val="005F5278"/>
    <w:rsid w:val="005F6B98"/>
    <w:rsid w:val="006008B9"/>
    <w:rsid w:val="00605005"/>
    <w:rsid w:val="006051D3"/>
    <w:rsid w:val="00607190"/>
    <w:rsid w:val="0061043D"/>
    <w:rsid w:val="00620EC1"/>
    <w:rsid w:val="00622D7E"/>
    <w:rsid w:val="00623619"/>
    <w:rsid w:val="006258FC"/>
    <w:rsid w:val="00625EEB"/>
    <w:rsid w:val="00626105"/>
    <w:rsid w:val="006268EC"/>
    <w:rsid w:val="006312FA"/>
    <w:rsid w:val="00632F1C"/>
    <w:rsid w:val="00635B6F"/>
    <w:rsid w:val="006370B2"/>
    <w:rsid w:val="00643C9C"/>
    <w:rsid w:val="00644CCF"/>
    <w:rsid w:val="0065278E"/>
    <w:rsid w:val="006560F4"/>
    <w:rsid w:val="00667F30"/>
    <w:rsid w:val="00672C2B"/>
    <w:rsid w:val="006730FE"/>
    <w:rsid w:val="00675F77"/>
    <w:rsid w:val="00681078"/>
    <w:rsid w:val="0068133D"/>
    <w:rsid w:val="00682921"/>
    <w:rsid w:val="006877FC"/>
    <w:rsid w:val="00691635"/>
    <w:rsid w:val="00695153"/>
    <w:rsid w:val="00695C4D"/>
    <w:rsid w:val="00696A51"/>
    <w:rsid w:val="00697D70"/>
    <w:rsid w:val="006A30F3"/>
    <w:rsid w:val="006A32C9"/>
    <w:rsid w:val="006A49DE"/>
    <w:rsid w:val="006A5732"/>
    <w:rsid w:val="006B089F"/>
    <w:rsid w:val="006B2FB8"/>
    <w:rsid w:val="006B4261"/>
    <w:rsid w:val="006B5A1D"/>
    <w:rsid w:val="006B6E81"/>
    <w:rsid w:val="006C0EB2"/>
    <w:rsid w:val="006C2766"/>
    <w:rsid w:val="006C41C8"/>
    <w:rsid w:val="006D00B3"/>
    <w:rsid w:val="006D0C71"/>
    <w:rsid w:val="006D5F6E"/>
    <w:rsid w:val="006D6C53"/>
    <w:rsid w:val="006D76C7"/>
    <w:rsid w:val="006D7DCF"/>
    <w:rsid w:val="006E1A19"/>
    <w:rsid w:val="006E24BF"/>
    <w:rsid w:val="006E628A"/>
    <w:rsid w:val="006E6DF0"/>
    <w:rsid w:val="006E7C82"/>
    <w:rsid w:val="006F1461"/>
    <w:rsid w:val="006F3D6C"/>
    <w:rsid w:val="006F4966"/>
    <w:rsid w:val="006F4B7C"/>
    <w:rsid w:val="006F4E2B"/>
    <w:rsid w:val="006F5E29"/>
    <w:rsid w:val="006F770F"/>
    <w:rsid w:val="00702736"/>
    <w:rsid w:val="00704DD2"/>
    <w:rsid w:val="00705536"/>
    <w:rsid w:val="00707B27"/>
    <w:rsid w:val="00710364"/>
    <w:rsid w:val="00710DDB"/>
    <w:rsid w:val="00712D88"/>
    <w:rsid w:val="00715B09"/>
    <w:rsid w:val="00716256"/>
    <w:rsid w:val="007170EF"/>
    <w:rsid w:val="0072286B"/>
    <w:rsid w:val="00725639"/>
    <w:rsid w:val="00732136"/>
    <w:rsid w:val="00735957"/>
    <w:rsid w:val="00735994"/>
    <w:rsid w:val="00735D41"/>
    <w:rsid w:val="00735E18"/>
    <w:rsid w:val="00736B27"/>
    <w:rsid w:val="00742FB7"/>
    <w:rsid w:val="007432E3"/>
    <w:rsid w:val="00743ECF"/>
    <w:rsid w:val="00744E2D"/>
    <w:rsid w:val="007475AE"/>
    <w:rsid w:val="00747D7B"/>
    <w:rsid w:val="00750087"/>
    <w:rsid w:val="00750095"/>
    <w:rsid w:val="00754AE3"/>
    <w:rsid w:val="00754E5F"/>
    <w:rsid w:val="00755270"/>
    <w:rsid w:val="0075566C"/>
    <w:rsid w:val="00755ABA"/>
    <w:rsid w:val="007575E3"/>
    <w:rsid w:val="007616D6"/>
    <w:rsid w:val="00762753"/>
    <w:rsid w:val="007629F6"/>
    <w:rsid w:val="00764779"/>
    <w:rsid w:val="00764FC5"/>
    <w:rsid w:val="00765DF6"/>
    <w:rsid w:val="00767AD2"/>
    <w:rsid w:val="00770BB2"/>
    <w:rsid w:val="00772A4F"/>
    <w:rsid w:val="00772F3B"/>
    <w:rsid w:val="00775ACE"/>
    <w:rsid w:val="00776672"/>
    <w:rsid w:val="00782C24"/>
    <w:rsid w:val="007854A6"/>
    <w:rsid w:val="007905B7"/>
    <w:rsid w:val="0079356B"/>
    <w:rsid w:val="00794A2E"/>
    <w:rsid w:val="00797307"/>
    <w:rsid w:val="007A131A"/>
    <w:rsid w:val="007A4916"/>
    <w:rsid w:val="007B2889"/>
    <w:rsid w:val="007B3471"/>
    <w:rsid w:val="007B542B"/>
    <w:rsid w:val="007C1434"/>
    <w:rsid w:val="007C1745"/>
    <w:rsid w:val="007C1A69"/>
    <w:rsid w:val="007C5284"/>
    <w:rsid w:val="007C5437"/>
    <w:rsid w:val="007C6FC5"/>
    <w:rsid w:val="007C7EE9"/>
    <w:rsid w:val="007D0365"/>
    <w:rsid w:val="007D65A5"/>
    <w:rsid w:val="007D7F35"/>
    <w:rsid w:val="007E086B"/>
    <w:rsid w:val="007E6158"/>
    <w:rsid w:val="007F0CC6"/>
    <w:rsid w:val="007F59BF"/>
    <w:rsid w:val="007F5ABA"/>
    <w:rsid w:val="007F5B8C"/>
    <w:rsid w:val="007F6A3A"/>
    <w:rsid w:val="007F7B83"/>
    <w:rsid w:val="007F7F9B"/>
    <w:rsid w:val="0080253F"/>
    <w:rsid w:val="00803296"/>
    <w:rsid w:val="00803A2F"/>
    <w:rsid w:val="0080431A"/>
    <w:rsid w:val="00804F1A"/>
    <w:rsid w:val="00807766"/>
    <w:rsid w:val="00807AF6"/>
    <w:rsid w:val="008133D6"/>
    <w:rsid w:val="00813F8A"/>
    <w:rsid w:val="008208A2"/>
    <w:rsid w:val="0082133E"/>
    <w:rsid w:val="008305AB"/>
    <w:rsid w:val="00846119"/>
    <w:rsid w:val="008461CD"/>
    <w:rsid w:val="008462F0"/>
    <w:rsid w:val="00846A1E"/>
    <w:rsid w:val="00850686"/>
    <w:rsid w:val="00850B1A"/>
    <w:rsid w:val="0085116E"/>
    <w:rsid w:val="00861202"/>
    <w:rsid w:val="00861DFD"/>
    <w:rsid w:val="00863749"/>
    <w:rsid w:val="00867C10"/>
    <w:rsid w:val="00873004"/>
    <w:rsid w:val="0087634F"/>
    <w:rsid w:val="00877B1D"/>
    <w:rsid w:val="00880D50"/>
    <w:rsid w:val="0088250F"/>
    <w:rsid w:val="00882F77"/>
    <w:rsid w:val="008842C2"/>
    <w:rsid w:val="0088677E"/>
    <w:rsid w:val="00890FEA"/>
    <w:rsid w:val="00891FC4"/>
    <w:rsid w:val="00893E67"/>
    <w:rsid w:val="00895A31"/>
    <w:rsid w:val="008A0D13"/>
    <w:rsid w:val="008A4655"/>
    <w:rsid w:val="008A5435"/>
    <w:rsid w:val="008A6B82"/>
    <w:rsid w:val="008A7AB4"/>
    <w:rsid w:val="008B2C31"/>
    <w:rsid w:val="008B7A3A"/>
    <w:rsid w:val="008C2518"/>
    <w:rsid w:val="008C4037"/>
    <w:rsid w:val="008C72D3"/>
    <w:rsid w:val="008C7B9F"/>
    <w:rsid w:val="008C7C99"/>
    <w:rsid w:val="008D181D"/>
    <w:rsid w:val="008D21A2"/>
    <w:rsid w:val="008D5F4B"/>
    <w:rsid w:val="008D6D22"/>
    <w:rsid w:val="008D7DE6"/>
    <w:rsid w:val="008E071E"/>
    <w:rsid w:val="008E4267"/>
    <w:rsid w:val="008F1DE7"/>
    <w:rsid w:val="008F2012"/>
    <w:rsid w:val="008F298A"/>
    <w:rsid w:val="008F61B0"/>
    <w:rsid w:val="008F78C8"/>
    <w:rsid w:val="008F7972"/>
    <w:rsid w:val="00903042"/>
    <w:rsid w:val="009031F8"/>
    <w:rsid w:val="00907A5A"/>
    <w:rsid w:val="00912FAB"/>
    <w:rsid w:val="009148D5"/>
    <w:rsid w:val="00922018"/>
    <w:rsid w:val="00923904"/>
    <w:rsid w:val="00927976"/>
    <w:rsid w:val="0093218E"/>
    <w:rsid w:val="00940B46"/>
    <w:rsid w:val="009440DC"/>
    <w:rsid w:val="00945C3B"/>
    <w:rsid w:val="00945CAF"/>
    <w:rsid w:val="0095244D"/>
    <w:rsid w:val="00957F8D"/>
    <w:rsid w:val="00962AAB"/>
    <w:rsid w:val="00967214"/>
    <w:rsid w:val="009706B0"/>
    <w:rsid w:val="00971390"/>
    <w:rsid w:val="009727BF"/>
    <w:rsid w:val="00977F99"/>
    <w:rsid w:val="009818CB"/>
    <w:rsid w:val="009837E2"/>
    <w:rsid w:val="00986B21"/>
    <w:rsid w:val="00986D03"/>
    <w:rsid w:val="00993585"/>
    <w:rsid w:val="00994EA5"/>
    <w:rsid w:val="009A1D20"/>
    <w:rsid w:val="009A48CC"/>
    <w:rsid w:val="009A4DB4"/>
    <w:rsid w:val="009A5648"/>
    <w:rsid w:val="009A5B17"/>
    <w:rsid w:val="009B034C"/>
    <w:rsid w:val="009B0812"/>
    <w:rsid w:val="009B39C1"/>
    <w:rsid w:val="009B41DC"/>
    <w:rsid w:val="009B6788"/>
    <w:rsid w:val="009C4260"/>
    <w:rsid w:val="009C5F55"/>
    <w:rsid w:val="009D4447"/>
    <w:rsid w:val="009D4758"/>
    <w:rsid w:val="009E3577"/>
    <w:rsid w:val="009E6EB9"/>
    <w:rsid w:val="009F1D9B"/>
    <w:rsid w:val="009F51EE"/>
    <w:rsid w:val="00A01C65"/>
    <w:rsid w:val="00A02382"/>
    <w:rsid w:val="00A050FC"/>
    <w:rsid w:val="00A05B52"/>
    <w:rsid w:val="00A0618E"/>
    <w:rsid w:val="00A07FE0"/>
    <w:rsid w:val="00A103B6"/>
    <w:rsid w:val="00A17D76"/>
    <w:rsid w:val="00A22791"/>
    <w:rsid w:val="00A26717"/>
    <w:rsid w:val="00A273D8"/>
    <w:rsid w:val="00A333D4"/>
    <w:rsid w:val="00A431E6"/>
    <w:rsid w:val="00A4480B"/>
    <w:rsid w:val="00A461BE"/>
    <w:rsid w:val="00A5155B"/>
    <w:rsid w:val="00A523DC"/>
    <w:rsid w:val="00A55569"/>
    <w:rsid w:val="00A562BE"/>
    <w:rsid w:val="00A5637D"/>
    <w:rsid w:val="00A60511"/>
    <w:rsid w:val="00A62104"/>
    <w:rsid w:val="00A70698"/>
    <w:rsid w:val="00A711CD"/>
    <w:rsid w:val="00A73005"/>
    <w:rsid w:val="00A734A7"/>
    <w:rsid w:val="00A74074"/>
    <w:rsid w:val="00A819E5"/>
    <w:rsid w:val="00A8221D"/>
    <w:rsid w:val="00A82441"/>
    <w:rsid w:val="00A82FFF"/>
    <w:rsid w:val="00A87BFA"/>
    <w:rsid w:val="00A9651F"/>
    <w:rsid w:val="00A97790"/>
    <w:rsid w:val="00AA0818"/>
    <w:rsid w:val="00AA19A6"/>
    <w:rsid w:val="00AA3A52"/>
    <w:rsid w:val="00AA5AD6"/>
    <w:rsid w:val="00AA6683"/>
    <w:rsid w:val="00AB3CD0"/>
    <w:rsid w:val="00AB7368"/>
    <w:rsid w:val="00AC2EEF"/>
    <w:rsid w:val="00AC6C94"/>
    <w:rsid w:val="00AD076F"/>
    <w:rsid w:val="00AD1DBA"/>
    <w:rsid w:val="00AD2887"/>
    <w:rsid w:val="00AD55CE"/>
    <w:rsid w:val="00AD5836"/>
    <w:rsid w:val="00AD58FE"/>
    <w:rsid w:val="00AE149D"/>
    <w:rsid w:val="00AE5737"/>
    <w:rsid w:val="00AE7CB8"/>
    <w:rsid w:val="00AE7E32"/>
    <w:rsid w:val="00AF7309"/>
    <w:rsid w:val="00AF734A"/>
    <w:rsid w:val="00B00147"/>
    <w:rsid w:val="00B00A42"/>
    <w:rsid w:val="00B0348D"/>
    <w:rsid w:val="00B10E27"/>
    <w:rsid w:val="00B10F5D"/>
    <w:rsid w:val="00B14DA3"/>
    <w:rsid w:val="00B168E8"/>
    <w:rsid w:val="00B220A5"/>
    <w:rsid w:val="00B23802"/>
    <w:rsid w:val="00B2640F"/>
    <w:rsid w:val="00B2715B"/>
    <w:rsid w:val="00B306DA"/>
    <w:rsid w:val="00B31849"/>
    <w:rsid w:val="00B33DCF"/>
    <w:rsid w:val="00B36E44"/>
    <w:rsid w:val="00B40746"/>
    <w:rsid w:val="00B4295A"/>
    <w:rsid w:val="00B543DA"/>
    <w:rsid w:val="00B55D14"/>
    <w:rsid w:val="00B561C2"/>
    <w:rsid w:val="00B56F23"/>
    <w:rsid w:val="00B570AE"/>
    <w:rsid w:val="00B57CD1"/>
    <w:rsid w:val="00B6426B"/>
    <w:rsid w:val="00B64528"/>
    <w:rsid w:val="00B64D26"/>
    <w:rsid w:val="00B65A64"/>
    <w:rsid w:val="00B66D8D"/>
    <w:rsid w:val="00B731CD"/>
    <w:rsid w:val="00B8094C"/>
    <w:rsid w:val="00B80F68"/>
    <w:rsid w:val="00B83141"/>
    <w:rsid w:val="00B83FDB"/>
    <w:rsid w:val="00B86F49"/>
    <w:rsid w:val="00B87642"/>
    <w:rsid w:val="00B90C3F"/>
    <w:rsid w:val="00B95846"/>
    <w:rsid w:val="00B95CA3"/>
    <w:rsid w:val="00B96224"/>
    <w:rsid w:val="00BA18F0"/>
    <w:rsid w:val="00BA1924"/>
    <w:rsid w:val="00BA5E44"/>
    <w:rsid w:val="00BA7304"/>
    <w:rsid w:val="00BB03B4"/>
    <w:rsid w:val="00BB0585"/>
    <w:rsid w:val="00BB0ADB"/>
    <w:rsid w:val="00BB2352"/>
    <w:rsid w:val="00BC5BA9"/>
    <w:rsid w:val="00BC74B6"/>
    <w:rsid w:val="00BD75C2"/>
    <w:rsid w:val="00BE0BBB"/>
    <w:rsid w:val="00BF02F5"/>
    <w:rsid w:val="00BF2EA0"/>
    <w:rsid w:val="00BF3D64"/>
    <w:rsid w:val="00BF593B"/>
    <w:rsid w:val="00BF637E"/>
    <w:rsid w:val="00C0127A"/>
    <w:rsid w:val="00C012A1"/>
    <w:rsid w:val="00C0149D"/>
    <w:rsid w:val="00C062F7"/>
    <w:rsid w:val="00C073B5"/>
    <w:rsid w:val="00C10850"/>
    <w:rsid w:val="00C11AF3"/>
    <w:rsid w:val="00C1317A"/>
    <w:rsid w:val="00C14F1E"/>
    <w:rsid w:val="00C1616A"/>
    <w:rsid w:val="00C1632E"/>
    <w:rsid w:val="00C3189E"/>
    <w:rsid w:val="00C3772D"/>
    <w:rsid w:val="00C37A65"/>
    <w:rsid w:val="00C43339"/>
    <w:rsid w:val="00C44E71"/>
    <w:rsid w:val="00C503E9"/>
    <w:rsid w:val="00C516BB"/>
    <w:rsid w:val="00C53944"/>
    <w:rsid w:val="00C568EB"/>
    <w:rsid w:val="00C5760A"/>
    <w:rsid w:val="00C57FCF"/>
    <w:rsid w:val="00C61DFA"/>
    <w:rsid w:val="00C62AF1"/>
    <w:rsid w:val="00C635A4"/>
    <w:rsid w:val="00C70094"/>
    <w:rsid w:val="00C70DC1"/>
    <w:rsid w:val="00C710A0"/>
    <w:rsid w:val="00C71962"/>
    <w:rsid w:val="00C72EF2"/>
    <w:rsid w:val="00C73F88"/>
    <w:rsid w:val="00C74806"/>
    <w:rsid w:val="00C75870"/>
    <w:rsid w:val="00C76131"/>
    <w:rsid w:val="00C77F0A"/>
    <w:rsid w:val="00C8309B"/>
    <w:rsid w:val="00C925CE"/>
    <w:rsid w:val="00C93BB4"/>
    <w:rsid w:val="00C942A2"/>
    <w:rsid w:val="00C9440A"/>
    <w:rsid w:val="00C947D1"/>
    <w:rsid w:val="00C965B0"/>
    <w:rsid w:val="00C97622"/>
    <w:rsid w:val="00CA3420"/>
    <w:rsid w:val="00CA3E88"/>
    <w:rsid w:val="00CB047D"/>
    <w:rsid w:val="00CB1119"/>
    <w:rsid w:val="00CB1171"/>
    <w:rsid w:val="00CB19D3"/>
    <w:rsid w:val="00CB4AB7"/>
    <w:rsid w:val="00CB580C"/>
    <w:rsid w:val="00CB6285"/>
    <w:rsid w:val="00CC0052"/>
    <w:rsid w:val="00CC289A"/>
    <w:rsid w:val="00CC2A01"/>
    <w:rsid w:val="00CC3BB8"/>
    <w:rsid w:val="00CC5947"/>
    <w:rsid w:val="00CC662C"/>
    <w:rsid w:val="00CD42B9"/>
    <w:rsid w:val="00CD790A"/>
    <w:rsid w:val="00CE107A"/>
    <w:rsid w:val="00CE526D"/>
    <w:rsid w:val="00CF0002"/>
    <w:rsid w:val="00CF0409"/>
    <w:rsid w:val="00CF0654"/>
    <w:rsid w:val="00CF1EF9"/>
    <w:rsid w:val="00CF2410"/>
    <w:rsid w:val="00CF59B2"/>
    <w:rsid w:val="00CF656D"/>
    <w:rsid w:val="00D00268"/>
    <w:rsid w:val="00D01FCB"/>
    <w:rsid w:val="00D0220B"/>
    <w:rsid w:val="00D0384D"/>
    <w:rsid w:val="00D039FA"/>
    <w:rsid w:val="00D05078"/>
    <w:rsid w:val="00D12287"/>
    <w:rsid w:val="00D20BD9"/>
    <w:rsid w:val="00D21073"/>
    <w:rsid w:val="00D22C5D"/>
    <w:rsid w:val="00D233C0"/>
    <w:rsid w:val="00D252D6"/>
    <w:rsid w:val="00D30E72"/>
    <w:rsid w:val="00D35EEF"/>
    <w:rsid w:val="00D363F4"/>
    <w:rsid w:val="00D411E7"/>
    <w:rsid w:val="00D434B8"/>
    <w:rsid w:val="00D43F79"/>
    <w:rsid w:val="00D45099"/>
    <w:rsid w:val="00D537C5"/>
    <w:rsid w:val="00D543A7"/>
    <w:rsid w:val="00D55C21"/>
    <w:rsid w:val="00D56CC2"/>
    <w:rsid w:val="00D62B2C"/>
    <w:rsid w:val="00D72685"/>
    <w:rsid w:val="00D72CEF"/>
    <w:rsid w:val="00D72D3B"/>
    <w:rsid w:val="00D74C10"/>
    <w:rsid w:val="00D75406"/>
    <w:rsid w:val="00D773A0"/>
    <w:rsid w:val="00D7752E"/>
    <w:rsid w:val="00D8089D"/>
    <w:rsid w:val="00D82372"/>
    <w:rsid w:val="00D84F06"/>
    <w:rsid w:val="00D84F11"/>
    <w:rsid w:val="00D860DD"/>
    <w:rsid w:val="00D873D2"/>
    <w:rsid w:val="00D8764F"/>
    <w:rsid w:val="00D90430"/>
    <w:rsid w:val="00D953B8"/>
    <w:rsid w:val="00D967AB"/>
    <w:rsid w:val="00DA19EE"/>
    <w:rsid w:val="00DA3288"/>
    <w:rsid w:val="00DA7F28"/>
    <w:rsid w:val="00DB0DE8"/>
    <w:rsid w:val="00DB4D34"/>
    <w:rsid w:val="00DB7404"/>
    <w:rsid w:val="00DC2C8E"/>
    <w:rsid w:val="00DC430D"/>
    <w:rsid w:val="00DD1DE5"/>
    <w:rsid w:val="00DD2B51"/>
    <w:rsid w:val="00DD70D6"/>
    <w:rsid w:val="00DE0A52"/>
    <w:rsid w:val="00DE2FBE"/>
    <w:rsid w:val="00DE3E8C"/>
    <w:rsid w:val="00DF07FA"/>
    <w:rsid w:val="00DF23ED"/>
    <w:rsid w:val="00DF36E2"/>
    <w:rsid w:val="00DF3D61"/>
    <w:rsid w:val="00DF543B"/>
    <w:rsid w:val="00E00AE6"/>
    <w:rsid w:val="00E03431"/>
    <w:rsid w:val="00E04002"/>
    <w:rsid w:val="00E10490"/>
    <w:rsid w:val="00E12A06"/>
    <w:rsid w:val="00E13351"/>
    <w:rsid w:val="00E20BF5"/>
    <w:rsid w:val="00E23F6F"/>
    <w:rsid w:val="00E24734"/>
    <w:rsid w:val="00E24CBF"/>
    <w:rsid w:val="00E30F46"/>
    <w:rsid w:val="00E343B7"/>
    <w:rsid w:val="00E37F6B"/>
    <w:rsid w:val="00E401D9"/>
    <w:rsid w:val="00E43091"/>
    <w:rsid w:val="00E45083"/>
    <w:rsid w:val="00E51A38"/>
    <w:rsid w:val="00E60E7C"/>
    <w:rsid w:val="00E67AD2"/>
    <w:rsid w:val="00E72735"/>
    <w:rsid w:val="00E72E06"/>
    <w:rsid w:val="00E73D58"/>
    <w:rsid w:val="00E76371"/>
    <w:rsid w:val="00E76C84"/>
    <w:rsid w:val="00E8002B"/>
    <w:rsid w:val="00E80883"/>
    <w:rsid w:val="00E80FD5"/>
    <w:rsid w:val="00E83C08"/>
    <w:rsid w:val="00E928B0"/>
    <w:rsid w:val="00E942B9"/>
    <w:rsid w:val="00EA2EB9"/>
    <w:rsid w:val="00EA6E56"/>
    <w:rsid w:val="00EA791F"/>
    <w:rsid w:val="00EB2B00"/>
    <w:rsid w:val="00EB3405"/>
    <w:rsid w:val="00EB5AE8"/>
    <w:rsid w:val="00EC04FD"/>
    <w:rsid w:val="00EC09B2"/>
    <w:rsid w:val="00EC31C0"/>
    <w:rsid w:val="00ED0E55"/>
    <w:rsid w:val="00EE10A1"/>
    <w:rsid w:val="00EE33B4"/>
    <w:rsid w:val="00EE54F2"/>
    <w:rsid w:val="00EE741F"/>
    <w:rsid w:val="00EF1CED"/>
    <w:rsid w:val="00EF485B"/>
    <w:rsid w:val="00EF5611"/>
    <w:rsid w:val="00EF70F6"/>
    <w:rsid w:val="00F045F9"/>
    <w:rsid w:val="00F06768"/>
    <w:rsid w:val="00F07FF3"/>
    <w:rsid w:val="00F12A58"/>
    <w:rsid w:val="00F16011"/>
    <w:rsid w:val="00F1696F"/>
    <w:rsid w:val="00F171E4"/>
    <w:rsid w:val="00F176FB"/>
    <w:rsid w:val="00F210EC"/>
    <w:rsid w:val="00F2351D"/>
    <w:rsid w:val="00F2413B"/>
    <w:rsid w:val="00F26181"/>
    <w:rsid w:val="00F33972"/>
    <w:rsid w:val="00F36BEB"/>
    <w:rsid w:val="00F3797B"/>
    <w:rsid w:val="00F4038A"/>
    <w:rsid w:val="00F45847"/>
    <w:rsid w:val="00F45B2B"/>
    <w:rsid w:val="00F474EE"/>
    <w:rsid w:val="00F51151"/>
    <w:rsid w:val="00F547F6"/>
    <w:rsid w:val="00F54AB7"/>
    <w:rsid w:val="00F55265"/>
    <w:rsid w:val="00F5549A"/>
    <w:rsid w:val="00F62DF0"/>
    <w:rsid w:val="00F75DFF"/>
    <w:rsid w:val="00F8022A"/>
    <w:rsid w:val="00F82B55"/>
    <w:rsid w:val="00F84EB0"/>
    <w:rsid w:val="00F85836"/>
    <w:rsid w:val="00F85AAF"/>
    <w:rsid w:val="00F941D9"/>
    <w:rsid w:val="00F950C7"/>
    <w:rsid w:val="00FA45B1"/>
    <w:rsid w:val="00FA688C"/>
    <w:rsid w:val="00FA721B"/>
    <w:rsid w:val="00FB1559"/>
    <w:rsid w:val="00FB16F5"/>
    <w:rsid w:val="00FC1FED"/>
    <w:rsid w:val="00FC4F3B"/>
    <w:rsid w:val="00FC7534"/>
    <w:rsid w:val="00FD13B6"/>
    <w:rsid w:val="00FD2E2A"/>
    <w:rsid w:val="00FD580D"/>
    <w:rsid w:val="00FE3118"/>
    <w:rsid w:val="00FE4B41"/>
    <w:rsid w:val="00FF0318"/>
    <w:rsid w:val="00FF0728"/>
    <w:rsid w:val="00FF0C91"/>
    <w:rsid w:val="00FF13C4"/>
    <w:rsid w:val="00FF141A"/>
    <w:rsid w:val="00FF5959"/>
    <w:rsid w:val="00FF6827"/>
    <w:rsid w:val="00FF696E"/>
    <w:rsid w:val="00FF78F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/>
    <w:lsdException w:name="Title" w:semiHidden="0" w:uiPriority="0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4A7"/>
    <w:rPr>
      <w:rFonts w:ascii="Calibri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15B"/>
    <w:pPr>
      <w:keepNext/>
      <w:spacing w:after="240"/>
      <w:outlineLvl w:val="0"/>
    </w:pPr>
    <w:rPr>
      <w:rFonts w:eastAsia="Times New Roman"/>
      <w:b/>
      <w:caps/>
      <w:sz w:val="32"/>
      <w:szCs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715B"/>
    <w:pPr>
      <w:keepNext/>
      <w:spacing w:before="120" w:after="240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1CD"/>
    <w:pPr>
      <w:keepNext/>
      <w:keepLines/>
      <w:spacing w:before="200" w:after="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8461CD"/>
    <w:pPr>
      <w:spacing w:after="120"/>
      <w:outlineLvl w:val="3"/>
    </w:pPr>
    <w:rPr>
      <w:b w:val="0"/>
      <w:bCs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715B"/>
    <w:rPr>
      <w:rFonts w:ascii="Times New Roman" w:hAnsi="Times New Roman" w:cs="Times New Roman"/>
      <w:b/>
      <w:sz w:val="32"/>
      <w:szCs w:val="24"/>
    </w:rPr>
  </w:style>
  <w:style w:type="paragraph" w:customStyle="1" w:styleId="ChartandTableFootnoteAlpha">
    <w:name w:val="Chart and Table Footnote Alpha"/>
    <w:basedOn w:val="Normal"/>
    <w:next w:val="Normal"/>
    <w:rsid w:val="00891FC4"/>
    <w:pPr>
      <w:keepLines/>
      <w:numPr>
        <w:numId w:val="2"/>
      </w:numPr>
      <w:spacing w:after="0"/>
      <w:jc w:val="both"/>
    </w:pPr>
    <w:rPr>
      <w:rFonts w:ascii="Arial" w:eastAsia="Times New Roman" w:hAnsi="Arial"/>
      <w:sz w:val="16"/>
      <w:szCs w:val="20"/>
      <w:lang w:eastAsia="en-AU"/>
    </w:rPr>
  </w:style>
  <w:style w:type="paragraph" w:styleId="Caption">
    <w:name w:val="caption"/>
    <w:basedOn w:val="Normal"/>
    <w:next w:val="Normal"/>
    <w:link w:val="CaptionChar"/>
    <w:rsid w:val="00891FC4"/>
    <w:pPr>
      <w:keepNext/>
      <w:keepLines/>
      <w:spacing w:line="260" w:lineRule="exact"/>
      <w:jc w:val="both"/>
    </w:pPr>
    <w:rPr>
      <w:rFonts w:eastAsia="Times New Roman"/>
      <w:b/>
      <w:bCs/>
      <w:szCs w:val="20"/>
      <w:lang w:eastAsia="en-AU"/>
    </w:rPr>
  </w:style>
  <w:style w:type="character" w:customStyle="1" w:styleId="CaptionChar">
    <w:name w:val="Caption Char"/>
    <w:basedOn w:val="DefaultParagraphFont"/>
    <w:link w:val="Caption"/>
    <w:locked/>
    <w:rsid w:val="00891FC4"/>
    <w:rPr>
      <w:rFonts w:ascii="Times New Roman" w:eastAsia="Times New Roman" w:hAnsi="Times New Roman" w:cs="Times New Roman"/>
      <w:b/>
      <w:bCs/>
      <w:sz w:val="24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715B"/>
    <w:rPr>
      <w:rFonts w:ascii="Times New Roman" w:eastAsia="Times New Roman" w:hAnsi="Times New Roman" w:cs="Times New Roman"/>
      <w:b/>
      <w:caps/>
      <w:sz w:val="32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461CD"/>
    <w:rPr>
      <w:rFonts w:ascii="Times New Roman" w:eastAsiaTheme="majorEastAsia" w:hAnsi="Times New Roman" w:cstheme="majorBidi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461CD"/>
    <w:rPr>
      <w:rFonts w:ascii="Times New Roman" w:eastAsiaTheme="majorEastAsia" w:hAnsi="Times New Roman" w:cstheme="majorBidi"/>
      <w:b/>
      <w:bCs/>
      <w:i/>
      <w:sz w:val="24"/>
      <w:szCs w:val="24"/>
    </w:rPr>
  </w:style>
  <w:style w:type="table" w:styleId="TableGrid">
    <w:name w:val="Table Grid"/>
    <w:basedOn w:val="TableNormal"/>
    <w:rsid w:val="00891FC4"/>
    <w:pPr>
      <w:keepNext/>
      <w:keepLines/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ormabullet">
    <w:name w:val="Pro forma bullet"/>
    <w:basedOn w:val="Normal"/>
    <w:qFormat/>
    <w:rsid w:val="00891FC4"/>
    <w:pPr>
      <w:spacing w:before="80" w:after="80" w:line="260" w:lineRule="exact"/>
    </w:pPr>
    <w:rPr>
      <w:rFonts w:eastAsia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0BB2"/>
    <w:rPr>
      <w:rFonts w:ascii="Times New Roman" w:hAnsi="Times New Roman" w:cs="Times New Roman"/>
      <w:sz w:val="24"/>
      <w:szCs w:val="24"/>
    </w:rPr>
  </w:style>
  <w:style w:type="paragraph" w:styleId="Footer">
    <w:name w:val="footer"/>
    <w:aliases w:val="PBO HeaderFooter"/>
    <w:basedOn w:val="Normal"/>
    <w:link w:val="FooterChar"/>
    <w:uiPriority w:val="99"/>
    <w:unhideWhenUsed/>
    <w:qFormat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PBO HeaderFooter Char"/>
    <w:basedOn w:val="DefaultParagraphFont"/>
    <w:link w:val="Footer"/>
    <w:uiPriority w:val="99"/>
    <w:rsid w:val="00770BB2"/>
    <w:rPr>
      <w:rFonts w:ascii="Times New Roman" w:hAnsi="Times New Roman" w:cs="Times New Roman"/>
      <w:sz w:val="24"/>
      <w:szCs w:val="24"/>
    </w:rPr>
  </w:style>
  <w:style w:type="character" w:styleId="IntenseReference">
    <w:name w:val="Intense Reference"/>
    <w:aliases w:val="DLM style"/>
    <w:basedOn w:val="DefaultParagraphFont"/>
    <w:uiPriority w:val="32"/>
    <w:qFormat/>
    <w:rsid w:val="00770BB2"/>
    <w:rPr>
      <w:rFonts w:ascii="Arial" w:hAnsi="Arial"/>
      <w:b/>
      <w:bCs/>
      <w:caps w:val="0"/>
      <w:smallCaps w:val="0"/>
      <w:color w:val="FF0000"/>
      <w:spacing w:val="5"/>
      <w:sz w:val="28"/>
      <w:u w:val="single"/>
    </w:rPr>
  </w:style>
  <w:style w:type="character" w:styleId="SubtleReference">
    <w:name w:val="Subtle Reference"/>
    <w:basedOn w:val="DefaultParagraphFont"/>
    <w:uiPriority w:val="31"/>
    <w:rsid w:val="00770BB2"/>
    <w:rPr>
      <w:smallCaps/>
      <w:color w:val="C0504D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8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12"/>
    <w:rPr>
      <w:rFonts w:ascii="Tahoma" w:hAnsi="Tahoma" w:cs="Tahoma"/>
      <w:sz w:val="16"/>
      <w:szCs w:val="16"/>
    </w:rPr>
  </w:style>
  <w:style w:type="paragraph" w:styleId="Subtitle">
    <w:name w:val="Subtitle"/>
    <w:aliases w:val="PBO Subtitle"/>
    <w:basedOn w:val="Normal"/>
    <w:next w:val="Normal"/>
    <w:link w:val="SubtitleChar"/>
    <w:uiPriority w:val="2"/>
    <w:qFormat/>
    <w:rsid w:val="00A734A7"/>
    <w:pPr>
      <w:keepNext/>
      <w:keepLines/>
      <w:spacing w:before="480" w:after="0"/>
    </w:pPr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character" w:customStyle="1" w:styleId="SubtitleChar">
    <w:name w:val="Subtitle Char"/>
    <w:aliases w:val="PBO Subtitle Char"/>
    <w:basedOn w:val="DefaultParagraphFont"/>
    <w:link w:val="Subtitle"/>
    <w:uiPriority w:val="2"/>
    <w:rsid w:val="00A734A7"/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B6788"/>
    <w:pPr>
      <w:ind w:left="720"/>
      <w:contextualSpacing/>
    </w:pPr>
  </w:style>
  <w:style w:type="character" w:styleId="SubtleEmphasis">
    <w:name w:val="Subtle Emphasis"/>
    <w:aliases w:val="Bullet level 1"/>
    <w:uiPriority w:val="19"/>
    <w:rsid w:val="00492FE0"/>
    <w:rPr>
      <w:lang w:eastAsia="en-AU"/>
    </w:rPr>
  </w:style>
  <w:style w:type="paragraph" w:customStyle="1" w:styleId="Bullet1">
    <w:name w:val="Bullet 1"/>
    <w:basedOn w:val="Normal"/>
    <w:link w:val="Bullet1Char"/>
    <w:qFormat/>
    <w:rsid w:val="002565D1"/>
    <w:pPr>
      <w:numPr>
        <w:numId w:val="3"/>
      </w:numPr>
      <w:ind w:left="357" w:hanging="357"/>
    </w:pPr>
  </w:style>
  <w:style w:type="paragraph" w:customStyle="1" w:styleId="Bullet2">
    <w:name w:val="Bullet 2"/>
    <w:basedOn w:val="NormalWeb"/>
    <w:link w:val="Bullet2Char"/>
    <w:uiPriority w:val="99"/>
    <w:qFormat/>
    <w:rsid w:val="002565D1"/>
    <w:pPr>
      <w:numPr>
        <w:ilvl w:val="1"/>
        <w:numId w:val="3"/>
      </w:numPr>
      <w:ind w:left="568" w:hanging="284"/>
    </w:pPr>
    <w:rPr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65D1"/>
    <w:rPr>
      <w:rFonts w:ascii="Times New Roman" w:hAnsi="Times New Roman" w:cs="Times New Roman"/>
      <w:sz w:val="24"/>
      <w:szCs w:val="24"/>
    </w:rPr>
  </w:style>
  <w:style w:type="character" w:customStyle="1" w:styleId="Bullet1Char">
    <w:name w:val="Bullet 1 Char"/>
    <w:basedOn w:val="ListParagraphChar"/>
    <w:link w:val="Bullet1"/>
    <w:rsid w:val="00BF3D64"/>
    <w:rPr>
      <w:rFonts w:ascii="Times New Roman" w:hAnsi="Times New Roman" w:cs="Times New Roman"/>
      <w:sz w:val="24"/>
      <w:szCs w:val="24"/>
    </w:rPr>
  </w:style>
  <w:style w:type="paragraph" w:customStyle="1" w:styleId="Bullet3">
    <w:name w:val="Bullet 3"/>
    <w:basedOn w:val="NormalWeb"/>
    <w:link w:val="Bullet3Char"/>
    <w:uiPriority w:val="99"/>
    <w:qFormat/>
    <w:rsid w:val="002565D1"/>
    <w:pPr>
      <w:numPr>
        <w:ilvl w:val="2"/>
        <w:numId w:val="3"/>
      </w:numPr>
      <w:ind w:left="851" w:hanging="284"/>
    </w:pPr>
    <w:rPr>
      <w:lang w:eastAsia="en-AU"/>
    </w:rPr>
  </w:style>
  <w:style w:type="character" w:customStyle="1" w:styleId="Bullet2Char">
    <w:name w:val="Bullet 2 Char"/>
    <w:basedOn w:val="ListParagraphChar"/>
    <w:link w:val="Bullet2"/>
    <w:rsid w:val="00BF3D64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ullet4">
    <w:name w:val="Bullet 4"/>
    <w:basedOn w:val="ListParagraph"/>
    <w:next w:val="Normal"/>
    <w:link w:val="Bullet4Char"/>
    <w:uiPriority w:val="99"/>
    <w:qFormat/>
    <w:rsid w:val="002565D1"/>
    <w:pPr>
      <w:numPr>
        <w:ilvl w:val="3"/>
        <w:numId w:val="3"/>
      </w:numPr>
      <w:ind w:left="1135" w:hanging="284"/>
    </w:pPr>
    <w:rPr>
      <w:lang w:eastAsia="en-AU"/>
    </w:rPr>
  </w:style>
  <w:style w:type="character" w:customStyle="1" w:styleId="Bullet3Char">
    <w:name w:val="Bullet 3 Char"/>
    <w:basedOn w:val="ListParagraphChar"/>
    <w:link w:val="Bullet3"/>
    <w:rsid w:val="00BF3D64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ullet5">
    <w:name w:val="Bullet 5"/>
    <w:basedOn w:val="ListParagraph"/>
    <w:next w:val="Normal"/>
    <w:link w:val="Bullet5Char"/>
    <w:uiPriority w:val="99"/>
    <w:qFormat/>
    <w:rsid w:val="002565D1"/>
    <w:pPr>
      <w:numPr>
        <w:ilvl w:val="4"/>
        <w:numId w:val="3"/>
      </w:numPr>
      <w:ind w:left="1418" w:hanging="284"/>
    </w:pPr>
    <w:rPr>
      <w:lang w:eastAsia="en-AU"/>
    </w:rPr>
  </w:style>
  <w:style w:type="character" w:customStyle="1" w:styleId="Bullet4Char">
    <w:name w:val="Bullet 4 Char"/>
    <w:basedOn w:val="ListParagraphChar"/>
    <w:link w:val="Bullet4"/>
    <w:rsid w:val="002565D1"/>
    <w:rPr>
      <w:rFonts w:ascii="Times New Roman" w:hAnsi="Times New Roman" w:cs="Times New Roman"/>
      <w:sz w:val="24"/>
      <w:szCs w:val="24"/>
      <w:lang w:eastAsia="en-AU"/>
    </w:rPr>
  </w:style>
  <w:style w:type="character" w:customStyle="1" w:styleId="Bullet5Char">
    <w:name w:val="Bullet 5 Char"/>
    <w:basedOn w:val="ListParagraphChar"/>
    <w:link w:val="Bullet5"/>
    <w:rsid w:val="002565D1"/>
    <w:rPr>
      <w:rFonts w:ascii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F3D64"/>
  </w:style>
  <w:style w:type="character" w:styleId="CommentReference">
    <w:name w:val="annotation reference"/>
    <w:basedOn w:val="DefaultParagraphFont"/>
    <w:uiPriority w:val="99"/>
    <w:semiHidden/>
    <w:unhideWhenUsed/>
    <w:rsid w:val="00DE3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E8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E8C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107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07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1078"/>
    <w:rPr>
      <w:vertAlign w:val="superscript"/>
    </w:rPr>
  </w:style>
  <w:style w:type="paragraph" w:styleId="Revision">
    <w:name w:val="Revision"/>
    <w:hidden/>
    <w:uiPriority w:val="99"/>
    <w:semiHidden/>
    <w:rsid w:val="00395A4E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aliases w:val="PBO Title"/>
    <w:basedOn w:val="Heading1"/>
    <w:next w:val="Subtitle"/>
    <w:link w:val="TitleChar"/>
    <w:qFormat/>
    <w:rsid w:val="00A734A7"/>
    <w:pPr>
      <w:spacing w:before="4300" w:after="60"/>
      <w:outlineLvl w:val="9"/>
    </w:pPr>
    <w:rPr>
      <w:rFonts w:ascii="Georgia" w:hAnsi="Georgia"/>
      <w:b w:val="0"/>
      <w:bCs/>
      <w:caps w:val="0"/>
      <w:color w:val="264A76"/>
      <w:kern w:val="32"/>
      <w:sz w:val="44"/>
      <w:szCs w:val="44"/>
    </w:rPr>
  </w:style>
  <w:style w:type="character" w:customStyle="1" w:styleId="TitleChar">
    <w:name w:val="Title Char"/>
    <w:aliases w:val="PBO Title Char"/>
    <w:basedOn w:val="DefaultParagraphFont"/>
    <w:link w:val="Title"/>
    <w:rsid w:val="00A734A7"/>
    <w:rPr>
      <w:rFonts w:ascii="Georgia" w:eastAsia="Times New Roman" w:hAnsi="Georgia" w:cs="Times New Roman"/>
      <w:bCs/>
      <w:color w:val="264A76"/>
      <w:kern w:val="32"/>
      <w:sz w:val="44"/>
      <w:szCs w:val="44"/>
      <w:lang w:eastAsia="en-AU"/>
    </w:rPr>
  </w:style>
  <w:style w:type="paragraph" w:customStyle="1" w:styleId="PBOheading1">
    <w:name w:val="PBO heading 1"/>
    <w:basedOn w:val="Heading1"/>
    <w:next w:val="Normal"/>
    <w:uiPriority w:val="1"/>
    <w:qFormat/>
    <w:rsid w:val="00A55569"/>
    <w:pPr>
      <w:spacing w:before="680" w:after="480"/>
    </w:pPr>
    <w:rPr>
      <w:rFonts w:ascii="Georgia" w:hAnsi="Georgia"/>
      <w:b w:val="0"/>
      <w:bCs/>
      <w:caps w:val="0"/>
      <w:color w:val="264A76"/>
      <w:kern w:val="32"/>
      <w:sz w:val="36"/>
      <w:szCs w:val="24"/>
      <w:lang w:eastAsia="en-US"/>
    </w:rPr>
  </w:style>
  <w:style w:type="paragraph" w:customStyle="1" w:styleId="PBOheading2">
    <w:name w:val="PBO heading 2"/>
    <w:basedOn w:val="Heading2"/>
    <w:next w:val="Normal"/>
    <w:uiPriority w:val="1"/>
    <w:qFormat/>
    <w:rsid w:val="00A55569"/>
    <w:pPr>
      <w:keepLines/>
      <w:spacing w:before="320" w:after="170" w:line="288" w:lineRule="auto"/>
    </w:pPr>
    <w:rPr>
      <w:rFonts w:asciiTheme="majorHAnsi" w:eastAsiaTheme="majorEastAsia" w:hAnsiTheme="majorHAnsi" w:cstheme="majorBidi"/>
      <w:b w:val="0"/>
      <w:bCs/>
      <w:color w:val="264A76"/>
      <w:sz w:val="30"/>
      <w:szCs w:val="26"/>
      <w:lang w:eastAsia="en-AU"/>
    </w:rPr>
  </w:style>
  <w:style w:type="paragraph" w:customStyle="1" w:styleId="PBOtext">
    <w:name w:val="PBO text"/>
    <w:basedOn w:val="Normal"/>
    <w:uiPriority w:val="99"/>
    <w:qFormat/>
    <w:rsid w:val="00A55569"/>
    <w:pPr>
      <w:spacing w:before="120" w:after="113"/>
    </w:pPr>
    <w:rPr>
      <w:rFonts w:eastAsia="Cambria"/>
      <w:szCs w:val="20"/>
      <w:lang w:eastAsia="en-AU"/>
    </w:rPr>
  </w:style>
  <w:style w:type="paragraph" w:customStyle="1" w:styleId="PBOfiguretableheading">
    <w:name w:val="PBO figure/table heading"/>
    <w:uiPriority w:val="2"/>
    <w:qFormat/>
    <w:rsid w:val="00A55569"/>
    <w:pPr>
      <w:spacing w:before="200" w:after="113" w:line="288" w:lineRule="auto"/>
    </w:pPr>
    <w:rPr>
      <w:rFonts w:ascii="Calibri" w:eastAsia="Cambria" w:hAnsi="Calibri" w:cs="Times New Roman"/>
      <w:b/>
      <w:i/>
      <w:color w:val="2B3B5F"/>
      <w:sz w:val="20"/>
      <w:szCs w:val="24"/>
    </w:rPr>
  </w:style>
  <w:style w:type="table" w:customStyle="1" w:styleId="PBOtable">
    <w:name w:val="PBO table"/>
    <w:basedOn w:val="TableNormal"/>
    <w:qFormat/>
    <w:rsid w:val="00543268"/>
    <w:pPr>
      <w:spacing w:after="0"/>
    </w:pPr>
    <w:rPr>
      <w:rFonts w:ascii="Calibri" w:eastAsia="Cambria" w:hAnsi="Calibri" w:cs="Times New Roman"/>
      <w:sz w:val="18"/>
      <w:szCs w:val="20"/>
      <w:lang w:eastAsia="en-AU"/>
    </w:rPr>
    <w:tblPr>
      <w:tblStyleRowBandSize w:val="1"/>
      <w:tblStyleColBandSize w:val="1"/>
    </w:tblPr>
    <w:tcPr>
      <w:shd w:val="clear" w:color="auto" w:fill="95A4C6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18"/>
      </w:rPr>
      <w:tblPr/>
      <w:tcPr>
        <w:shd w:val="clear" w:color="auto" w:fill="264A76"/>
      </w:tcPr>
    </w:tblStylePr>
    <w:tblStylePr w:type="firstCol">
      <w:pPr>
        <w:jc w:val="left"/>
      </w:pPr>
      <w:rPr>
        <w:rFonts w:ascii="Calibri" w:hAnsi="Calibri"/>
        <w:b/>
        <w:sz w:val="18"/>
      </w:rPr>
      <w:tblPr/>
      <w:tcPr>
        <w:vAlign w:val="center"/>
      </w:tcPr>
    </w:tblStylePr>
    <w:tblStylePr w:type="lastCol">
      <w:rPr>
        <w:rFonts w:ascii="Calibri" w:hAnsi="Calibri"/>
        <w:sz w:val="18"/>
      </w:rPr>
    </w:tblStylePr>
    <w:tblStylePr w:type="band1Horz">
      <w:pPr>
        <w:jc w:val="center"/>
      </w:pPr>
      <w:rPr>
        <w:color w:val="auto"/>
      </w:rPr>
      <w:tblPr/>
      <w:tcPr>
        <w:shd w:val="clear" w:color="auto" w:fill="D8DCE5"/>
      </w:tcPr>
    </w:tblStylePr>
    <w:tblStylePr w:type="band2Horz">
      <w:pPr>
        <w:jc w:val="center"/>
      </w:pPr>
      <w:rPr>
        <w:rFonts w:ascii="Calibri" w:hAnsi="Calibri"/>
        <w:sz w:val="18"/>
      </w:rPr>
      <w:tblPr/>
      <w:tcPr>
        <w:shd w:val="clear" w:color="auto" w:fill="FFFFFF" w:themeFill="background1"/>
      </w:tcPr>
    </w:tblStylePr>
  </w:style>
  <w:style w:type="paragraph" w:customStyle="1" w:styleId="TableHeading">
    <w:name w:val="Table Heading"/>
    <w:basedOn w:val="Normal"/>
    <w:qFormat/>
    <w:rsid w:val="00C71962"/>
    <w:pPr>
      <w:keepNext/>
      <w:keepLines/>
      <w:spacing w:before="70" w:after="70" w:line="260" w:lineRule="atLeast"/>
      <w:ind w:left="113" w:right="113"/>
    </w:pPr>
    <w:rPr>
      <w:rFonts w:asciiTheme="minorHAnsi" w:hAnsiTheme="minorHAnsi"/>
      <w:b/>
      <w:color w:val="FFFFFF"/>
      <w:sz w:val="20"/>
      <w:szCs w:val="20"/>
    </w:rPr>
  </w:style>
  <w:style w:type="paragraph" w:customStyle="1" w:styleId="TableHeadingCentred">
    <w:name w:val="Table Heading Centred"/>
    <w:basedOn w:val="TableHeading"/>
    <w:qFormat/>
    <w:rsid w:val="00C71962"/>
    <w:pPr>
      <w:jc w:val="center"/>
    </w:pPr>
    <w:rPr>
      <w:color w:val="auto"/>
    </w:rPr>
  </w:style>
  <w:style w:type="paragraph" w:customStyle="1" w:styleId="TableText">
    <w:name w:val="Table Text"/>
    <w:basedOn w:val="Normal"/>
    <w:qFormat/>
    <w:rsid w:val="00C71962"/>
    <w:pPr>
      <w:spacing w:before="70" w:after="70" w:line="260" w:lineRule="atLeast"/>
      <w:ind w:left="113" w:right="113"/>
    </w:pPr>
    <w:rPr>
      <w:rFonts w:asciiTheme="minorHAnsi" w:hAnsiTheme="minorHAnsi"/>
      <w:sz w:val="20"/>
      <w:szCs w:val="20"/>
    </w:rPr>
  </w:style>
  <w:style w:type="paragraph" w:customStyle="1" w:styleId="TableTextCentred">
    <w:name w:val="Table Text Centred"/>
    <w:basedOn w:val="TableText"/>
    <w:qFormat/>
    <w:rsid w:val="00C71962"/>
    <w:pPr>
      <w:jc w:val="center"/>
    </w:pPr>
    <w:rPr>
      <w:rFonts w:eastAsia="Times New Roman"/>
      <w:lang w:eastAsia="en-AU"/>
    </w:rPr>
  </w:style>
  <w:style w:type="table" w:customStyle="1" w:styleId="TableGrid1">
    <w:name w:val="Table Grid1"/>
    <w:basedOn w:val="TableNormal"/>
    <w:next w:val="TableGrid"/>
    <w:rsid w:val="00C71962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">
    <w:name w:val="Table Grid2"/>
    <w:basedOn w:val="TableNormal"/>
    <w:next w:val="TableGrid"/>
    <w:rsid w:val="00E76371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Default">
    <w:name w:val="Default"/>
    <w:rsid w:val="004F1A32"/>
    <w:pPr>
      <w:autoSpaceDE w:val="0"/>
      <w:autoSpaceDN w:val="0"/>
      <w:adjustRightInd w:val="0"/>
      <w:spacing w:after="0"/>
    </w:pPr>
    <w:rPr>
      <w:rFonts w:ascii="Georgia" w:hAnsi="Georgia" w:cs="Georg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73004"/>
    <w:pPr>
      <w:spacing w:after="0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3004"/>
    <w:rPr>
      <w:rFonts w:ascii="Calibri" w:hAnsi="Calibri"/>
      <w:szCs w:val="21"/>
    </w:rPr>
  </w:style>
  <w:style w:type="table" w:customStyle="1" w:styleId="TableGrid11">
    <w:name w:val="Table Grid11"/>
    <w:basedOn w:val="TableNormal"/>
    <w:next w:val="TableGrid"/>
    <w:rsid w:val="00764FC5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1">
    <w:name w:val="Table Grid21"/>
    <w:basedOn w:val="TableNormal"/>
    <w:next w:val="TableGrid"/>
    <w:rsid w:val="006F4E2B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3B1CA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1CA0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1C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/>
    <w:lsdException w:name="Title" w:semiHidden="0" w:uiPriority="0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4A7"/>
    <w:rPr>
      <w:rFonts w:ascii="Calibri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15B"/>
    <w:pPr>
      <w:keepNext/>
      <w:spacing w:after="240"/>
      <w:outlineLvl w:val="0"/>
    </w:pPr>
    <w:rPr>
      <w:rFonts w:eastAsia="Times New Roman"/>
      <w:b/>
      <w:caps/>
      <w:sz w:val="32"/>
      <w:szCs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715B"/>
    <w:pPr>
      <w:keepNext/>
      <w:spacing w:before="120" w:after="240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1CD"/>
    <w:pPr>
      <w:keepNext/>
      <w:keepLines/>
      <w:spacing w:before="200" w:after="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8461CD"/>
    <w:pPr>
      <w:spacing w:after="120"/>
      <w:outlineLvl w:val="3"/>
    </w:pPr>
    <w:rPr>
      <w:b w:val="0"/>
      <w:bCs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715B"/>
    <w:rPr>
      <w:rFonts w:ascii="Times New Roman" w:hAnsi="Times New Roman" w:cs="Times New Roman"/>
      <w:b/>
      <w:sz w:val="32"/>
      <w:szCs w:val="24"/>
    </w:rPr>
  </w:style>
  <w:style w:type="paragraph" w:customStyle="1" w:styleId="ChartandTableFootnoteAlpha">
    <w:name w:val="Chart and Table Footnote Alpha"/>
    <w:basedOn w:val="Normal"/>
    <w:next w:val="Normal"/>
    <w:rsid w:val="00891FC4"/>
    <w:pPr>
      <w:keepLines/>
      <w:numPr>
        <w:numId w:val="2"/>
      </w:numPr>
      <w:spacing w:after="0"/>
      <w:jc w:val="both"/>
    </w:pPr>
    <w:rPr>
      <w:rFonts w:ascii="Arial" w:eastAsia="Times New Roman" w:hAnsi="Arial"/>
      <w:sz w:val="16"/>
      <w:szCs w:val="20"/>
      <w:lang w:eastAsia="en-AU"/>
    </w:rPr>
  </w:style>
  <w:style w:type="paragraph" w:styleId="Caption">
    <w:name w:val="caption"/>
    <w:basedOn w:val="Normal"/>
    <w:next w:val="Normal"/>
    <w:link w:val="CaptionChar"/>
    <w:rsid w:val="00891FC4"/>
    <w:pPr>
      <w:keepNext/>
      <w:keepLines/>
      <w:spacing w:line="260" w:lineRule="exact"/>
      <w:jc w:val="both"/>
    </w:pPr>
    <w:rPr>
      <w:rFonts w:eastAsia="Times New Roman"/>
      <w:b/>
      <w:bCs/>
      <w:szCs w:val="20"/>
      <w:lang w:eastAsia="en-AU"/>
    </w:rPr>
  </w:style>
  <w:style w:type="character" w:customStyle="1" w:styleId="CaptionChar">
    <w:name w:val="Caption Char"/>
    <w:basedOn w:val="DefaultParagraphFont"/>
    <w:link w:val="Caption"/>
    <w:locked/>
    <w:rsid w:val="00891FC4"/>
    <w:rPr>
      <w:rFonts w:ascii="Times New Roman" w:eastAsia="Times New Roman" w:hAnsi="Times New Roman" w:cs="Times New Roman"/>
      <w:b/>
      <w:bCs/>
      <w:sz w:val="24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715B"/>
    <w:rPr>
      <w:rFonts w:ascii="Times New Roman" w:eastAsia="Times New Roman" w:hAnsi="Times New Roman" w:cs="Times New Roman"/>
      <w:b/>
      <w:caps/>
      <w:sz w:val="32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461CD"/>
    <w:rPr>
      <w:rFonts w:ascii="Times New Roman" w:eastAsiaTheme="majorEastAsia" w:hAnsi="Times New Roman" w:cstheme="majorBidi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461CD"/>
    <w:rPr>
      <w:rFonts w:ascii="Times New Roman" w:eastAsiaTheme="majorEastAsia" w:hAnsi="Times New Roman" w:cstheme="majorBidi"/>
      <w:b/>
      <w:bCs/>
      <w:i/>
      <w:sz w:val="24"/>
      <w:szCs w:val="24"/>
    </w:rPr>
  </w:style>
  <w:style w:type="table" w:styleId="TableGrid">
    <w:name w:val="Table Grid"/>
    <w:basedOn w:val="TableNormal"/>
    <w:rsid w:val="00891FC4"/>
    <w:pPr>
      <w:keepNext/>
      <w:keepLines/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ormabullet">
    <w:name w:val="Pro forma bullet"/>
    <w:basedOn w:val="Normal"/>
    <w:qFormat/>
    <w:rsid w:val="00891FC4"/>
    <w:pPr>
      <w:spacing w:before="80" w:after="80" w:line="260" w:lineRule="exact"/>
    </w:pPr>
    <w:rPr>
      <w:rFonts w:eastAsia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0BB2"/>
    <w:rPr>
      <w:rFonts w:ascii="Times New Roman" w:hAnsi="Times New Roman" w:cs="Times New Roman"/>
      <w:sz w:val="24"/>
      <w:szCs w:val="24"/>
    </w:rPr>
  </w:style>
  <w:style w:type="paragraph" w:styleId="Footer">
    <w:name w:val="footer"/>
    <w:aliases w:val="PBO HeaderFooter"/>
    <w:basedOn w:val="Normal"/>
    <w:link w:val="FooterChar"/>
    <w:uiPriority w:val="99"/>
    <w:unhideWhenUsed/>
    <w:qFormat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PBO HeaderFooter Char"/>
    <w:basedOn w:val="DefaultParagraphFont"/>
    <w:link w:val="Footer"/>
    <w:uiPriority w:val="99"/>
    <w:rsid w:val="00770BB2"/>
    <w:rPr>
      <w:rFonts w:ascii="Times New Roman" w:hAnsi="Times New Roman" w:cs="Times New Roman"/>
      <w:sz w:val="24"/>
      <w:szCs w:val="24"/>
    </w:rPr>
  </w:style>
  <w:style w:type="character" w:styleId="IntenseReference">
    <w:name w:val="Intense Reference"/>
    <w:aliases w:val="DLM style"/>
    <w:basedOn w:val="DefaultParagraphFont"/>
    <w:uiPriority w:val="32"/>
    <w:qFormat/>
    <w:rsid w:val="00770BB2"/>
    <w:rPr>
      <w:rFonts w:ascii="Arial" w:hAnsi="Arial"/>
      <w:b/>
      <w:bCs/>
      <w:caps w:val="0"/>
      <w:smallCaps w:val="0"/>
      <w:color w:val="FF0000"/>
      <w:spacing w:val="5"/>
      <w:sz w:val="28"/>
      <w:u w:val="single"/>
    </w:rPr>
  </w:style>
  <w:style w:type="character" w:styleId="SubtleReference">
    <w:name w:val="Subtle Reference"/>
    <w:basedOn w:val="DefaultParagraphFont"/>
    <w:uiPriority w:val="31"/>
    <w:rsid w:val="00770BB2"/>
    <w:rPr>
      <w:smallCaps/>
      <w:color w:val="C0504D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8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12"/>
    <w:rPr>
      <w:rFonts w:ascii="Tahoma" w:hAnsi="Tahoma" w:cs="Tahoma"/>
      <w:sz w:val="16"/>
      <w:szCs w:val="16"/>
    </w:rPr>
  </w:style>
  <w:style w:type="paragraph" w:styleId="Subtitle">
    <w:name w:val="Subtitle"/>
    <w:aliases w:val="PBO Subtitle"/>
    <w:basedOn w:val="Normal"/>
    <w:next w:val="Normal"/>
    <w:link w:val="SubtitleChar"/>
    <w:uiPriority w:val="2"/>
    <w:qFormat/>
    <w:rsid w:val="00A734A7"/>
    <w:pPr>
      <w:keepNext/>
      <w:keepLines/>
      <w:spacing w:before="480" w:after="0"/>
    </w:pPr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character" w:customStyle="1" w:styleId="SubtitleChar">
    <w:name w:val="Subtitle Char"/>
    <w:aliases w:val="PBO Subtitle Char"/>
    <w:basedOn w:val="DefaultParagraphFont"/>
    <w:link w:val="Subtitle"/>
    <w:uiPriority w:val="2"/>
    <w:rsid w:val="00A734A7"/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B6788"/>
    <w:pPr>
      <w:ind w:left="720"/>
      <w:contextualSpacing/>
    </w:pPr>
  </w:style>
  <w:style w:type="character" w:styleId="SubtleEmphasis">
    <w:name w:val="Subtle Emphasis"/>
    <w:aliases w:val="Bullet level 1"/>
    <w:uiPriority w:val="19"/>
    <w:rsid w:val="00492FE0"/>
    <w:rPr>
      <w:lang w:eastAsia="en-AU"/>
    </w:rPr>
  </w:style>
  <w:style w:type="paragraph" w:customStyle="1" w:styleId="Bullet1">
    <w:name w:val="Bullet 1"/>
    <w:basedOn w:val="Normal"/>
    <w:link w:val="Bullet1Char"/>
    <w:qFormat/>
    <w:rsid w:val="002565D1"/>
    <w:pPr>
      <w:numPr>
        <w:numId w:val="3"/>
      </w:numPr>
      <w:ind w:left="357" w:hanging="357"/>
    </w:pPr>
  </w:style>
  <w:style w:type="paragraph" w:customStyle="1" w:styleId="Bullet2">
    <w:name w:val="Bullet 2"/>
    <w:basedOn w:val="NormalWeb"/>
    <w:link w:val="Bullet2Char"/>
    <w:uiPriority w:val="99"/>
    <w:qFormat/>
    <w:rsid w:val="002565D1"/>
    <w:pPr>
      <w:numPr>
        <w:ilvl w:val="1"/>
        <w:numId w:val="3"/>
      </w:numPr>
      <w:ind w:left="568" w:hanging="284"/>
    </w:pPr>
    <w:rPr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65D1"/>
    <w:rPr>
      <w:rFonts w:ascii="Times New Roman" w:hAnsi="Times New Roman" w:cs="Times New Roman"/>
      <w:sz w:val="24"/>
      <w:szCs w:val="24"/>
    </w:rPr>
  </w:style>
  <w:style w:type="character" w:customStyle="1" w:styleId="Bullet1Char">
    <w:name w:val="Bullet 1 Char"/>
    <w:basedOn w:val="ListParagraphChar"/>
    <w:link w:val="Bullet1"/>
    <w:rsid w:val="00BF3D64"/>
    <w:rPr>
      <w:rFonts w:ascii="Times New Roman" w:hAnsi="Times New Roman" w:cs="Times New Roman"/>
      <w:sz w:val="24"/>
      <w:szCs w:val="24"/>
    </w:rPr>
  </w:style>
  <w:style w:type="paragraph" w:customStyle="1" w:styleId="Bullet3">
    <w:name w:val="Bullet 3"/>
    <w:basedOn w:val="NormalWeb"/>
    <w:link w:val="Bullet3Char"/>
    <w:uiPriority w:val="99"/>
    <w:qFormat/>
    <w:rsid w:val="002565D1"/>
    <w:pPr>
      <w:numPr>
        <w:ilvl w:val="2"/>
        <w:numId w:val="3"/>
      </w:numPr>
      <w:ind w:left="851" w:hanging="284"/>
    </w:pPr>
    <w:rPr>
      <w:lang w:eastAsia="en-AU"/>
    </w:rPr>
  </w:style>
  <w:style w:type="character" w:customStyle="1" w:styleId="Bullet2Char">
    <w:name w:val="Bullet 2 Char"/>
    <w:basedOn w:val="ListParagraphChar"/>
    <w:link w:val="Bullet2"/>
    <w:rsid w:val="00BF3D64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ullet4">
    <w:name w:val="Bullet 4"/>
    <w:basedOn w:val="ListParagraph"/>
    <w:next w:val="Normal"/>
    <w:link w:val="Bullet4Char"/>
    <w:uiPriority w:val="99"/>
    <w:qFormat/>
    <w:rsid w:val="002565D1"/>
    <w:pPr>
      <w:numPr>
        <w:ilvl w:val="3"/>
        <w:numId w:val="3"/>
      </w:numPr>
      <w:ind w:left="1135" w:hanging="284"/>
    </w:pPr>
    <w:rPr>
      <w:lang w:eastAsia="en-AU"/>
    </w:rPr>
  </w:style>
  <w:style w:type="character" w:customStyle="1" w:styleId="Bullet3Char">
    <w:name w:val="Bullet 3 Char"/>
    <w:basedOn w:val="ListParagraphChar"/>
    <w:link w:val="Bullet3"/>
    <w:rsid w:val="00BF3D64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ullet5">
    <w:name w:val="Bullet 5"/>
    <w:basedOn w:val="ListParagraph"/>
    <w:next w:val="Normal"/>
    <w:link w:val="Bullet5Char"/>
    <w:uiPriority w:val="99"/>
    <w:qFormat/>
    <w:rsid w:val="002565D1"/>
    <w:pPr>
      <w:numPr>
        <w:ilvl w:val="4"/>
        <w:numId w:val="3"/>
      </w:numPr>
      <w:ind w:left="1418" w:hanging="284"/>
    </w:pPr>
    <w:rPr>
      <w:lang w:eastAsia="en-AU"/>
    </w:rPr>
  </w:style>
  <w:style w:type="character" w:customStyle="1" w:styleId="Bullet4Char">
    <w:name w:val="Bullet 4 Char"/>
    <w:basedOn w:val="ListParagraphChar"/>
    <w:link w:val="Bullet4"/>
    <w:rsid w:val="002565D1"/>
    <w:rPr>
      <w:rFonts w:ascii="Times New Roman" w:hAnsi="Times New Roman" w:cs="Times New Roman"/>
      <w:sz w:val="24"/>
      <w:szCs w:val="24"/>
      <w:lang w:eastAsia="en-AU"/>
    </w:rPr>
  </w:style>
  <w:style w:type="character" w:customStyle="1" w:styleId="Bullet5Char">
    <w:name w:val="Bullet 5 Char"/>
    <w:basedOn w:val="ListParagraphChar"/>
    <w:link w:val="Bullet5"/>
    <w:rsid w:val="002565D1"/>
    <w:rPr>
      <w:rFonts w:ascii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F3D64"/>
  </w:style>
  <w:style w:type="character" w:styleId="CommentReference">
    <w:name w:val="annotation reference"/>
    <w:basedOn w:val="DefaultParagraphFont"/>
    <w:uiPriority w:val="99"/>
    <w:semiHidden/>
    <w:unhideWhenUsed/>
    <w:rsid w:val="00DE3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E8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E8C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107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07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1078"/>
    <w:rPr>
      <w:vertAlign w:val="superscript"/>
    </w:rPr>
  </w:style>
  <w:style w:type="paragraph" w:styleId="Revision">
    <w:name w:val="Revision"/>
    <w:hidden/>
    <w:uiPriority w:val="99"/>
    <w:semiHidden/>
    <w:rsid w:val="00395A4E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aliases w:val="PBO Title"/>
    <w:basedOn w:val="Heading1"/>
    <w:next w:val="Subtitle"/>
    <w:link w:val="TitleChar"/>
    <w:qFormat/>
    <w:rsid w:val="00A734A7"/>
    <w:pPr>
      <w:spacing w:before="4300" w:after="60"/>
      <w:outlineLvl w:val="9"/>
    </w:pPr>
    <w:rPr>
      <w:rFonts w:ascii="Georgia" w:hAnsi="Georgia"/>
      <w:b w:val="0"/>
      <w:bCs/>
      <w:caps w:val="0"/>
      <w:color w:val="264A76"/>
      <w:kern w:val="32"/>
      <w:sz w:val="44"/>
      <w:szCs w:val="44"/>
    </w:rPr>
  </w:style>
  <w:style w:type="character" w:customStyle="1" w:styleId="TitleChar">
    <w:name w:val="Title Char"/>
    <w:aliases w:val="PBO Title Char"/>
    <w:basedOn w:val="DefaultParagraphFont"/>
    <w:link w:val="Title"/>
    <w:rsid w:val="00A734A7"/>
    <w:rPr>
      <w:rFonts w:ascii="Georgia" w:eastAsia="Times New Roman" w:hAnsi="Georgia" w:cs="Times New Roman"/>
      <w:bCs/>
      <w:color w:val="264A76"/>
      <w:kern w:val="32"/>
      <w:sz w:val="44"/>
      <w:szCs w:val="44"/>
      <w:lang w:eastAsia="en-AU"/>
    </w:rPr>
  </w:style>
  <w:style w:type="paragraph" w:customStyle="1" w:styleId="PBOheading1">
    <w:name w:val="PBO heading 1"/>
    <w:basedOn w:val="Heading1"/>
    <w:next w:val="Normal"/>
    <w:uiPriority w:val="1"/>
    <w:qFormat/>
    <w:rsid w:val="00A55569"/>
    <w:pPr>
      <w:spacing w:before="680" w:after="480"/>
    </w:pPr>
    <w:rPr>
      <w:rFonts w:ascii="Georgia" w:hAnsi="Georgia"/>
      <w:b w:val="0"/>
      <w:bCs/>
      <w:caps w:val="0"/>
      <w:color w:val="264A76"/>
      <w:kern w:val="32"/>
      <w:sz w:val="36"/>
      <w:szCs w:val="24"/>
      <w:lang w:eastAsia="en-US"/>
    </w:rPr>
  </w:style>
  <w:style w:type="paragraph" w:customStyle="1" w:styleId="PBOheading2">
    <w:name w:val="PBO heading 2"/>
    <w:basedOn w:val="Heading2"/>
    <w:next w:val="Normal"/>
    <w:uiPriority w:val="1"/>
    <w:qFormat/>
    <w:rsid w:val="00A55569"/>
    <w:pPr>
      <w:keepLines/>
      <w:spacing w:before="320" w:after="170" w:line="288" w:lineRule="auto"/>
    </w:pPr>
    <w:rPr>
      <w:rFonts w:asciiTheme="majorHAnsi" w:eastAsiaTheme="majorEastAsia" w:hAnsiTheme="majorHAnsi" w:cstheme="majorBidi"/>
      <w:b w:val="0"/>
      <w:bCs/>
      <w:color w:val="264A76"/>
      <w:sz w:val="30"/>
      <w:szCs w:val="26"/>
      <w:lang w:eastAsia="en-AU"/>
    </w:rPr>
  </w:style>
  <w:style w:type="paragraph" w:customStyle="1" w:styleId="PBOtext">
    <w:name w:val="PBO text"/>
    <w:basedOn w:val="Normal"/>
    <w:uiPriority w:val="99"/>
    <w:qFormat/>
    <w:rsid w:val="00A55569"/>
    <w:pPr>
      <w:spacing w:before="120" w:after="113"/>
    </w:pPr>
    <w:rPr>
      <w:rFonts w:eastAsia="Cambria"/>
      <w:szCs w:val="20"/>
      <w:lang w:eastAsia="en-AU"/>
    </w:rPr>
  </w:style>
  <w:style w:type="paragraph" w:customStyle="1" w:styleId="PBOfiguretableheading">
    <w:name w:val="PBO figure/table heading"/>
    <w:uiPriority w:val="2"/>
    <w:qFormat/>
    <w:rsid w:val="00A55569"/>
    <w:pPr>
      <w:spacing w:before="200" w:after="113" w:line="288" w:lineRule="auto"/>
    </w:pPr>
    <w:rPr>
      <w:rFonts w:ascii="Calibri" w:eastAsia="Cambria" w:hAnsi="Calibri" w:cs="Times New Roman"/>
      <w:b/>
      <w:i/>
      <w:color w:val="2B3B5F"/>
      <w:sz w:val="20"/>
      <w:szCs w:val="24"/>
    </w:rPr>
  </w:style>
  <w:style w:type="table" w:customStyle="1" w:styleId="PBOtable">
    <w:name w:val="PBO table"/>
    <w:basedOn w:val="TableNormal"/>
    <w:qFormat/>
    <w:rsid w:val="00543268"/>
    <w:pPr>
      <w:spacing w:after="0"/>
    </w:pPr>
    <w:rPr>
      <w:rFonts w:ascii="Calibri" w:eastAsia="Cambria" w:hAnsi="Calibri" w:cs="Times New Roman"/>
      <w:sz w:val="18"/>
      <w:szCs w:val="20"/>
      <w:lang w:eastAsia="en-AU"/>
    </w:rPr>
    <w:tblPr>
      <w:tblStyleRowBandSize w:val="1"/>
      <w:tblStyleColBandSize w:val="1"/>
    </w:tblPr>
    <w:tcPr>
      <w:shd w:val="clear" w:color="auto" w:fill="95A4C6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18"/>
      </w:rPr>
      <w:tblPr/>
      <w:tcPr>
        <w:shd w:val="clear" w:color="auto" w:fill="264A76"/>
      </w:tcPr>
    </w:tblStylePr>
    <w:tblStylePr w:type="firstCol">
      <w:pPr>
        <w:jc w:val="left"/>
      </w:pPr>
      <w:rPr>
        <w:rFonts w:ascii="Calibri" w:hAnsi="Calibri"/>
        <w:b/>
        <w:sz w:val="18"/>
      </w:rPr>
      <w:tblPr/>
      <w:tcPr>
        <w:vAlign w:val="center"/>
      </w:tcPr>
    </w:tblStylePr>
    <w:tblStylePr w:type="lastCol">
      <w:rPr>
        <w:rFonts w:ascii="Calibri" w:hAnsi="Calibri"/>
        <w:sz w:val="18"/>
      </w:rPr>
    </w:tblStylePr>
    <w:tblStylePr w:type="band1Horz">
      <w:pPr>
        <w:jc w:val="center"/>
      </w:pPr>
      <w:rPr>
        <w:color w:val="auto"/>
      </w:rPr>
      <w:tblPr/>
      <w:tcPr>
        <w:shd w:val="clear" w:color="auto" w:fill="D8DCE5"/>
      </w:tcPr>
    </w:tblStylePr>
    <w:tblStylePr w:type="band2Horz">
      <w:pPr>
        <w:jc w:val="center"/>
      </w:pPr>
      <w:rPr>
        <w:rFonts w:ascii="Calibri" w:hAnsi="Calibri"/>
        <w:sz w:val="18"/>
      </w:rPr>
      <w:tblPr/>
      <w:tcPr>
        <w:shd w:val="clear" w:color="auto" w:fill="FFFFFF" w:themeFill="background1"/>
      </w:tcPr>
    </w:tblStylePr>
  </w:style>
  <w:style w:type="paragraph" w:customStyle="1" w:styleId="TableHeading">
    <w:name w:val="Table Heading"/>
    <w:basedOn w:val="Normal"/>
    <w:qFormat/>
    <w:rsid w:val="00C71962"/>
    <w:pPr>
      <w:keepNext/>
      <w:keepLines/>
      <w:spacing w:before="70" w:after="70" w:line="260" w:lineRule="atLeast"/>
      <w:ind w:left="113" w:right="113"/>
    </w:pPr>
    <w:rPr>
      <w:rFonts w:asciiTheme="minorHAnsi" w:hAnsiTheme="minorHAnsi"/>
      <w:b/>
      <w:color w:val="FFFFFF"/>
      <w:sz w:val="20"/>
      <w:szCs w:val="20"/>
    </w:rPr>
  </w:style>
  <w:style w:type="paragraph" w:customStyle="1" w:styleId="TableHeadingCentred">
    <w:name w:val="Table Heading Centred"/>
    <w:basedOn w:val="TableHeading"/>
    <w:qFormat/>
    <w:rsid w:val="00C71962"/>
    <w:pPr>
      <w:jc w:val="center"/>
    </w:pPr>
    <w:rPr>
      <w:color w:val="auto"/>
    </w:rPr>
  </w:style>
  <w:style w:type="paragraph" w:customStyle="1" w:styleId="TableText">
    <w:name w:val="Table Text"/>
    <w:basedOn w:val="Normal"/>
    <w:qFormat/>
    <w:rsid w:val="00C71962"/>
    <w:pPr>
      <w:spacing w:before="70" w:after="70" w:line="260" w:lineRule="atLeast"/>
      <w:ind w:left="113" w:right="113"/>
    </w:pPr>
    <w:rPr>
      <w:rFonts w:asciiTheme="minorHAnsi" w:hAnsiTheme="minorHAnsi"/>
      <w:sz w:val="20"/>
      <w:szCs w:val="20"/>
    </w:rPr>
  </w:style>
  <w:style w:type="paragraph" w:customStyle="1" w:styleId="TableTextCentred">
    <w:name w:val="Table Text Centred"/>
    <w:basedOn w:val="TableText"/>
    <w:qFormat/>
    <w:rsid w:val="00C71962"/>
    <w:pPr>
      <w:jc w:val="center"/>
    </w:pPr>
    <w:rPr>
      <w:rFonts w:eastAsia="Times New Roman"/>
      <w:lang w:eastAsia="en-AU"/>
    </w:rPr>
  </w:style>
  <w:style w:type="table" w:customStyle="1" w:styleId="TableGrid1">
    <w:name w:val="Table Grid1"/>
    <w:basedOn w:val="TableNormal"/>
    <w:next w:val="TableGrid"/>
    <w:rsid w:val="00C71962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">
    <w:name w:val="Table Grid2"/>
    <w:basedOn w:val="TableNormal"/>
    <w:next w:val="TableGrid"/>
    <w:rsid w:val="00E76371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Default">
    <w:name w:val="Default"/>
    <w:rsid w:val="004F1A32"/>
    <w:pPr>
      <w:autoSpaceDE w:val="0"/>
      <w:autoSpaceDN w:val="0"/>
      <w:adjustRightInd w:val="0"/>
      <w:spacing w:after="0"/>
    </w:pPr>
    <w:rPr>
      <w:rFonts w:ascii="Georgia" w:hAnsi="Georgia" w:cs="Georg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73004"/>
    <w:pPr>
      <w:spacing w:after="0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3004"/>
    <w:rPr>
      <w:rFonts w:ascii="Calibri" w:hAnsi="Calibri"/>
      <w:szCs w:val="21"/>
    </w:rPr>
  </w:style>
  <w:style w:type="table" w:customStyle="1" w:styleId="TableGrid11">
    <w:name w:val="Table Grid11"/>
    <w:basedOn w:val="TableNormal"/>
    <w:next w:val="TableGrid"/>
    <w:rsid w:val="00764FC5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1">
    <w:name w:val="Table Grid21"/>
    <w:basedOn w:val="TableNormal"/>
    <w:next w:val="TableGrid"/>
    <w:rsid w:val="006F4E2B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3B1CA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1CA0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1C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4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tm\AppData\Local\Hewlett-Packard\HP%20TRIM\TEMP\HPTRIM.3940\12%203624%2021%20PBO%20Normal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422315939583212E-2"/>
          <c:y val="8.9943998500411029E-2"/>
          <c:w val="0.75994196050009644"/>
          <c:h val="0.73947657048771098"/>
        </c:manualLayout>
      </c:layout>
      <c:barChart>
        <c:barDir val="col"/>
        <c:grouping val="stacked"/>
        <c:varyColors val="0"/>
        <c:ser>
          <c:idx val="7"/>
          <c:order val="0"/>
          <c:tx>
            <c:strRef>
              <c:f>'Senate Estimates perf report'!$B$12</c:f>
              <c:strCache>
                <c:ptCount val="1"/>
                <c:pt idx="0">
                  <c:v>PSL4</c:v>
                </c:pt>
              </c:strCache>
            </c:strRef>
          </c:tx>
          <c:spPr>
            <a:solidFill>
              <a:srgbClr val="788184"/>
            </a:solidFill>
            <a:ln w="15875">
              <a:solidFill>
                <a:schemeClr val="tx1"/>
              </a:solidFill>
            </a:ln>
          </c:spPr>
          <c:invertIfNegative val="0"/>
          <c:cat>
            <c:strRef>
              <c:f>'Senate Estimates perf report'!$D$4:$G$4</c:f>
              <c:strCache>
                <c:ptCount val="4"/>
                <c:pt idx="0">
                  <c:v>PBO Executive</c:v>
                </c:pt>
                <c:pt idx="1">
                  <c:v>Budget Analysis Division</c:v>
                </c:pt>
                <c:pt idx="2">
                  <c:v>Fiscal Policy Analysis Division</c:v>
                </c:pt>
                <c:pt idx="3">
                  <c:v>Corporate Strategy Branch</c:v>
                </c:pt>
              </c:strCache>
            </c:strRef>
          </c:cat>
          <c:val>
            <c:numRef>
              <c:f>'Senate Estimates perf report'!$D$12:$G$12</c:f>
              <c:numCache>
                <c:formatCode>General</c:formatCode>
                <c:ptCount val="4"/>
                <c:pt idx="3" formatCode="#,###.0_);\(#,###.0\);\-_)\ ">
                  <c:v>1</c:v>
                </c:pt>
              </c:numCache>
            </c:numRef>
          </c:val>
        </c:ser>
        <c:ser>
          <c:idx val="6"/>
          <c:order val="1"/>
          <c:tx>
            <c:strRef>
              <c:f>'Senate Estimates perf report'!$B$11</c:f>
              <c:strCache>
                <c:ptCount val="1"/>
                <c:pt idx="0">
                  <c:v>PSL5</c:v>
                </c:pt>
              </c:strCache>
            </c:strRef>
          </c:tx>
          <c:spPr>
            <a:pattFill prst="wdDnDiag">
              <a:fgClr>
                <a:schemeClr val="tx1">
                  <a:lumMod val="75000"/>
                  <a:lumOff val="25000"/>
                </a:schemeClr>
              </a:fgClr>
              <a:bgClr>
                <a:schemeClr val="bg1"/>
              </a:bgClr>
            </a:pattFill>
            <a:ln w="15875">
              <a:solidFill>
                <a:schemeClr val="tx1"/>
              </a:solidFill>
            </a:ln>
          </c:spPr>
          <c:invertIfNegative val="0"/>
          <c:cat>
            <c:strRef>
              <c:f>'Senate Estimates perf report'!$D$4:$G$4</c:f>
              <c:strCache>
                <c:ptCount val="4"/>
                <c:pt idx="0">
                  <c:v>PBO Executive</c:v>
                </c:pt>
                <c:pt idx="1">
                  <c:v>Budget Analysis Division</c:v>
                </c:pt>
                <c:pt idx="2">
                  <c:v>Fiscal Policy Analysis Division</c:v>
                </c:pt>
                <c:pt idx="3">
                  <c:v>Corporate Strategy Branch</c:v>
                </c:pt>
              </c:strCache>
            </c:strRef>
          </c:cat>
          <c:val>
            <c:numRef>
              <c:f>'Senate Estimates perf report'!$D$11:$G$11</c:f>
              <c:numCache>
                <c:formatCode>#,###.0_);\(#,###.0\);\-_)\ </c:formatCode>
                <c:ptCount val="4"/>
                <c:pt idx="1">
                  <c:v>1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5"/>
          <c:order val="2"/>
          <c:tx>
            <c:strRef>
              <c:f>'Senate Estimates perf report'!$B$10</c:f>
              <c:strCache>
                <c:ptCount val="1"/>
                <c:pt idx="0">
                  <c:v>PSL6</c:v>
                </c:pt>
              </c:strCache>
            </c:strRef>
          </c:tx>
          <c:spPr>
            <a:solidFill>
              <a:srgbClr val="E3D1E2"/>
            </a:solidFill>
            <a:ln w="15875" cmpd="sng">
              <a:solidFill>
                <a:schemeClr val="tx1"/>
              </a:solidFill>
            </a:ln>
          </c:spPr>
          <c:invertIfNegative val="0"/>
          <c:cat>
            <c:strRef>
              <c:f>'Senate Estimates perf report'!$D$4:$G$4</c:f>
              <c:strCache>
                <c:ptCount val="4"/>
                <c:pt idx="0">
                  <c:v>PBO Executive</c:v>
                </c:pt>
                <c:pt idx="1">
                  <c:v>Budget Analysis Division</c:v>
                </c:pt>
                <c:pt idx="2">
                  <c:v>Fiscal Policy Analysis Division</c:v>
                </c:pt>
                <c:pt idx="3">
                  <c:v>Corporate Strategy Branch</c:v>
                </c:pt>
              </c:strCache>
            </c:strRef>
          </c:cat>
          <c:val>
            <c:numRef>
              <c:f>'Senate Estimates perf report'!$D$10:$G$10</c:f>
              <c:numCache>
                <c:formatCode>#,###.0_);\(#,###.0\);\-_)\ </c:formatCode>
                <c:ptCount val="4"/>
                <c:pt idx="0">
                  <c:v>1</c:v>
                </c:pt>
                <c:pt idx="1">
                  <c:v>7</c:v>
                </c:pt>
                <c:pt idx="2">
                  <c:v>0</c:v>
                </c:pt>
              </c:numCache>
            </c:numRef>
          </c:val>
        </c:ser>
        <c:ser>
          <c:idx val="4"/>
          <c:order val="3"/>
          <c:tx>
            <c:strRef>
              <c:f>'Senate Estimates perf report'!$B$9</c:f>
              <c:strCache>
                <c:ptCount val="1"/>
                <c:pt idx="0">
                  <c:v>PEL1</c:v>
                </c:pt>
              </c:strCache>
            </c:strRef>
          </c:tx>
          <c:spPr>
            <a:solidFill>
              <a:srgbClr val="95A4C6"/>
            </a:solidFill>
            <a:ln w="15875">
              <a:solidFill>
                <a:schemeClr val="tx1"/>
              </a:solidFill>
            </a:ln>
          </c:spPr>
          <c:invertIfNegative val="0"/>
          <c:cat>
            <c:strRef>
              <c:f>'Senate Estimates perf report'!$D$4:$G$4</c:f>
              <c:strCache>
                <c:ptCount val="4"/>
                <c:pt idx="0">
                  <c:v>PBO Executive</c:v>
                </c:pt>
                <c:pt idx="1">
                  <c:v>Budget Analysis Division</c:v>
                </c:pt>
                <c:pt idx="2">
                  <c:v>Fiscal Policy Analysis Division</c:v>
                </c:pt>
                <c:pt idx="3">
                  <c:v>Corporate Strategy Branch</c:v>
                </c:pt>
              </c:strCache>
            </c:strRef>
          </c:cat>
          <c:val>
            <c:numRef>
              <c:f>'Senate Estimates perf report'!$D$9:$G$9</c:f>
              <c:numCache>
                <c:formatCode>#,###.0_);\(#,###.0\);\-_)\ </c:formatCode>
                <c:ptCount val="4"/>
                <c:pt idx="1">
                  <c:v>13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ser>
          <c:idx val="3"/>
          <c:order val="4"/>
          <c:tx>
            <c:strRef>
              <c:f>'Senate Estimates perf report'!$B$8</c:f>
              <c:strCache>
                <c:ptCount val="1"/>
                <c:pt idx="0">
                  <c:v>PEL2</c:v>
                </c:pt>
              </c:strCache>
            </c:strRef>
          </c:tx>
          <c:spPr>
            <a:solidFill>
              <a:srgbClr val="264A76"/>
            </a:solidFill>
            <a:ln w="15875">
              <a:solidFill>
                <a:schemeClr val="tx1"/>
              </a:solidFill>
            </a:ln>
          </c:spPr>
          <c:invertIfNegative val="0"/>
          <c:cat>
            <c:strRef>
              <c:f>'Senate Estimates perf report'!$D$4:$G$4</c:f>
              <c:strCache>
                <c:ptCount val="4"/>
                <c:pt idx="0">
                  <c:v>PBO Executive</c:v>
                </c:pt>
                <c:pt idx="1">
                  <c:v>Budget Analysis Division</c:v>
                </c:pt>
                <c:pt idx="2">
                  <c:v>Fiscal Policy Analysis Division</c:v>
                </c:pt>
                <c:pt idx="3">
                  <c:v>Corporate Strategy Branch</c:v>
                </c:pt>
              </c:strCache>
            </c:strRef>
          </c:cat>
          <c:val>
            <c:numRef>
              <c:f>'Senate Estimates perf report'!$D$8:$G$8</c:f>
              <c:numCache>
                <c:formatCode>#,###.0_);\(#,###.0\);\-_)\ </c:formatCode>
                <c:ptCount val="4"/>
                <c:pt idx="1">
                  <c:v>4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2"/>
          <c:order val="5"/>
          <c:tx>
            <c:strRef>
              <c:f>'Senate Estimates perf report'!$B$7</c:f>
              <c:strCache>
                <c:ptCount val="1"/>
                <c:pt idx="0">
                  <c:v>SES B1</c:v>
                </c:pt>
              </c:strCache>
            </c:strRef>
          </c:tx>
          <c:spPr>
            <a:solidFill>
              <a:srgbClr val="D7DDE9"/>
            </a:solidFill>
            <a:ln w="15875">
              <a:solidFill>
                <a:schemeClr val="tx1"/>
              </a:solidFill>
            </a:ln>
          </c:spPr>
          <c:invertIfNegative val="0"/>
          <c:cat>
            <c:strRef>
              <c:f>'Senate Estimates perf report'!$D$4:$G$4</c:f>
              <c:strCache>
                <c:ptCount val="4"/>
                <c:pt idx="0">
                  <c:v>PBO Executive</c:v>
                </c:pt>
                <c:pt idx="1">
                  <c:v>Budget Analysis Division</c:v>
                </c:pt>
                <c:pt idx="2">
                  <c:v>Fiscal Policy Analysis Division</c:v>
                </c:pt>
                <c:pt idx="3">
                  <c:v>Corporate Strategy Branch</c:v>
                </c:pt>
              </c:strCache>
            </c:strRef>
          </c:cat>
          <c:val>
            <c:numRef>
              <c:f>'Senate Estimates perf report'!$D$7:$G$7</c:f>
              <c:numCache>
                <c:formatCode>#,###.0_);\(#,###.0\);\-_)\ </c:formatCode>
                <c:ptCount val="4"/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6"/>
          <c:tx>
            <c:strRef>
              <c:f>'Senate Estimates perf report'!$B$6</c:f>
              <c:strCache>
                <c:ptCount val="1"/>
                <c:pt idx="0">
                  <c:v>SES B2</c:v>
                </c:pt>
              </c:strCache>
            </c:strRef>
          </c:tx>
          <c:spPr>
            <a:solidFill>
              <a:srgbClr val="751D71"/>
            </a:solidFill>
            <a:ln w="15875">
              <a:solidFill>
                <a:schemeClr val="tx1"/>
              </a:solidFill>
            </a:ln>
          </c:spPr>
          <c:invertIfNegative val="0"/>
          <c:cat>
            <c:strRef>
              <c:f>'Senate Estimates perf report'!$D$4:$G$4</c:f>
              <c:strCache>
                <c:ptCount val="4"/>
                <c:pt idx="0">
                  <c:v>PBO Executive</c:v>
                </c:pt>
                <c:pt idx="1">
                  <c:v>Budget Analysis Division</c:v>
                </c:pt>
                <c:pt idx="2">
                  <c:v>Fiscal Policy Analysis Division</c:v>
                </c:pt>
                <c:pt idx="3">
                  <c:v>Corporate Strategy Branch</c:v>
                </c:pt>
              </c:strCache>
            </c:strRef>
          </c:cat>
          <c:val>
            <c:numRef>
              <c:f>'Senate Estimates perf report'!$D$6:$G$6</c:f>
              <c:numCache>
                <c:formatCode>#,###.0_);\(#,###.0\);\-_)\ </c:formatCode>
                <c:ptCount val="4"/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0"/>
          <c:order val="7"/>
          <c:tx>
            <c:strRef>
              <c:f>'Senate Estimates perf report'!$B$5</c:f>
              <c:strCache>
                <c:ptCount val="1"/>
                <c:pt idx="0">
                  <c:v>PBO</c:v>
                </c:pt>
              </c:strCache>
            </c:strRef>
          </c:tx>
          <c:spPr>
            <a:solidFill>
              <a:schemeClr val="tx1"/>
            </a:solidFill>
            <a:ln w="15875" cmpd="sng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'Senate Estimates perf report'!$D$4:$G$4</c:f>
              <c:strCache>
                <c:ptCount val="4"/>
                <c:pt idx="0">
                  <c:v>PBO Executive</c:v>
                </c:pt>
                <c:pt idx="1">
                  <c:v>Budget Analysis Division</c:v>
                </c:pt>
                <c:pt idx="2">
                  <c:v>Fiscal Policy Analysis Division</c:v>
                </c:pt>
                <c:pt idx="3">
                  <c:v>Corporate Strategy Branch</c:v>
                </c:pt>
              </c:strCache>
            </c:strRef>
          </c:cat>
          <c:val>
            <c:numRef>
              <c:f>'Senate Estimates perf report'!$D$5:$G$5</c:f>
              <c:numCache>
                <c:formatCode>General</c:formatCode>
                <c:ptCount val="4"/>
                <c:pt idx="0" formatCode="#,###.0_);\(#,###.0\);\-_)\ 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2718720"/>
        <c:axId val="82721024"/>
      </c:barChart>
      <c:catAx>
        <c:axId val="827187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+mn-lt"/>
                <a:cs typeface="Arial" panose="020B0604020202020204" pitchFamily="34" charset="0"/>
              </a:defRPr>
            </a:pPr>
            <a:endParaRPr lang="en-US"/>
          </a:p>
        </c:txPr>
        <c:crossAx val="82721024"/>
        <c:crosses val="autoZero"/>
        <c:auto val="1"/>
        <c:lblAlgn val="ctr"/>
        <c:lblOffset val="100"/>
        <c:noMultiLvlLbl val="0"/>
      </c:catAx>
      <c:valAx>
        <c:axId val="82721024"/>
        <c:scaling>
          <c:orientation val="minMax"/>
        </c:scaling>
        <c:delete val="0"/>
        <c:axPos val="l"/>
        <c:majorGridlines/>
        <c:numFmt formatCode="#,###_);\(#,###\);0_);" sourceLinked="0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82718720"/>
        <c:crosses val="autoZero"/>
        <c:crossBetween val="between"/>
        <c:majorUnit val="5"/>
      </c:valAx>
    </c:plotArea>
    <c:legend>
      <c:legendPos val="r"/>
      <c:legendEntry>
        <c:idx val="0"/>
        <c:txPr>
          <a:bodyPr/>
          <a:lstStyle/>
          <a:p>
            <a:pPr>
              <a:defRPr sz="1200" baseline="0">
                <a:latin typeface="Calibri" panose="020F0502020204030204" pitchFamily="34" charset="0"/>
              </a:defRPr>
            </a:pPr>
            <a:endParaRPr lang="en-US"/>
          </a:p>
        </c:txPr>
      </c:legendEntry>
      <c:layout>
        <c:manualLayout>
          <c:xMode val="edge"/>
          <c:yMode val="edge"/>
          <c:x val="0.84116120100372072"/>
          <c:y val="5.6748505087791515E-2"/>
          <c:w val="0.15883881962822621"/>
          <c:h val="0.88645200125700985"/>
        </c:manualLayout>
      </c:layout>
      <c:overlay val="0"/>
      <c:spPr>
        <a:ln w="0"/>
      </c:spPr>
      <c:txPr>
        <a:bodyPr/>
        <a:lstStyle/>
        <a:p>
          <a:pPr>
            <a:defRPr sz="1200" baseline="0">
              <a:latin typeface="Calibri" panose="020F050202020403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D3603-2F08-4D5C-AC85-134B07A7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3624 21 PBO Normal.DOTX</Template>
  <TotalTime>1</TotalTime>
  <Pages>8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PBO@pbo.gov.au</dc:creator>
  <cp:lastModifiedBy>Moorhouse, Helen (PBO)</cp:lastModifiedBy>
  <cp:revision>3</cp:revision>
  <cp:lastPrinted>2017-02-17T02:49:00Z</cp:lastPrinted>
  <dcterms:created xsi:type="dcterms:W3CDTF">2017-05-30T05:11:00Z</dcterms:created>
  <dcterms:modified xsi:type="dcterms:W3CDTF">2017-05-30T05:16:00Z</dcterms:modified>
</cp:coreProperties>
</file>