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A7" w:rsidRDefault="00A734A7" w:rsidP="005C2F9E">
      <w:pPr>
        <w:pStyle w:val="Title"/>
        <w:spacing w:before="240" w:after="1200"/>
      </w:pPr>
      <w:bookmarkStart w:id="0" w:name="_GoBack"/>
      <w:bookmarkEnd w:id="0"/>
      <w:r>
        <w:rPr>
          <w:noProof/>
        </w:rPr>
        <w:drawing>
          <wp:inline distT="0" distB="0" distL="0" distR="0" wp14:anchorId="157543EF" wp14:editId="4EBBEFE8">
            <wp:extent cx="2876550" cy="609600"/>
            <wp:effectExtent l="0" t="0" r="0" b="0"/>
            <wp:docPr id="6" name="Picture 6" descr="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p>
    <w:p w:rsidR="00A734A7" w:rsidRPr="00A734A7" w:rsidRDefault="00A734A7" w:rsidP="00A734A7">
      <w:pPr>
        <w:pStyle w:val="Title"/>
      </w:pPr>
      <w:r w:rsidRPr="00A734A7">
        <w:t xml:space="preserve">Report to the Senate Finance and </w:t>
      </w:r>
      <w:r w:rsidR="002D3148">
        <w:br/>
      </w:r>
      <w:r w:rsidRPr="00A734A7">
        <w:t>Public Administratio</w:t>
      </w:r>
      <w:r>
        <w:t>n Legislation Committee on PBO a</w:t>
      </w:r>
      <w:r w:rsidRPr="00A734A7">
        <w:t>ctivity</w:t>
      </w:r>
    </w:p>
    <w:p w:rsidR="005C2F9E" w:rsidRDefault="008208A2" w:rsidP="004C2CCC">
      <w:pPr>
        <w:pStyle w:val="Subtitle"/>
      </w:pPr>
      <w:r>
        <w:t>12 October</w:t>
      </w:r>
      <w:r w:rsidR="00DF23ED">
        <w:t xml:space="preserve"> </w:t>
      </w:r>
      <w:r w:rsidR="00A734A7" w:rsidRPr="00A734A7">
        <w:t>201</w:t>
      </w:r>
      <w:r w:rsidR="00E76C84">
        <w:t>6</w:t>
      </w:r>
      <w:r w:rsidR="005C2F9E">
        <w:br w:type="page"/>
      </w:r>
    </w:p>
    <w:p w:rsidR="007D65A5" w:rsidRPr="00A55569" w:rsidRDefault="00A734A7" w:rsidP="007D65A5">
      <w:pPr>
        <w:pStyle w:val="PBOheading1"/>
      </w:pPr>
      <w:r>
        <w:lastRenderedPageBreak/>
        <w:t>Overview</w:t>
      </w:r>
    </w:p>
    <w:p w:rsidR="00625EEB" w:rsidRDefault="007854A6" w:rsidP="002A569E">
      <w:pPr>
        <w:pStyle w:val="PBOtext"/>
      </w:pPr>
      <w:r>
        <w:t xml:space="preserve">The Parliamentary Budget Office (PBO) 2015–16 Annual Report </w:t>
      </w:r>
      <w:r w:rsidR="006A49DE">
        <w:t xml:space="preserve">will be </w:t>
      </w:r>
      <w:r>
        <w:t xml:space="preserve">tabled on </w:t>
      </w:r>
      <w:r w:rsidR="00625EEB">
        <w:t xml:space="preserve">12 </w:t>
      </w:r>
      <w:r>
        <w:t>October</w:t>
      </w:r>
      <w:r w:rsidR="00625EEB">
        <w:t> </w:t>
      </w:r>
      <w:r>
        <w:t>2016.</w:t>
      </w:r>
    </w:p>
    <w:p w:rsidR="002A569E" w:rsidRDefault="002A569E" w:rsidP="002A569E">
      <w:pPr>
        <w:pStyle w:val="PBOtext"/>
      </w:pPr>
      <w:r>
        <w:t xml:space="preserve">In 2015–16, the demand from parliamentarians and parliamentary parties for policy costings and budget analyses increased significantly in the lead up to the 2016 general election.  During 2015–16 the PBO responded to 3,251 requests, more than double the number of responses it prepared in 2013–14, the previous election year, and almost four times the number completed in 2014–15 (refer to Table 1).   </w:t>
      </w:r>
    </w:p>
    <w:p w:rsidR="00C11AF3" w:rsidRDefault="00C11AF3" w:rsidP="00C11AF3">
      <w:pPr>
        <w:pStyle w:val="PBOtext"/>
      </w:pPr>
      <w:r>
        <w:t>T</w:t>
      </w:r>
      <w:r w:rsidR="002A569E">
        <w:t>he remainder of this</w:t>
      </w:r>
      <w:r w:rsidR="00986D03">
        <w:t xml:space="preserve"> activity</w:t>
      </w:r>
      <w:r>
        <w:t xml:space="preserve"> report provides an update </w:t>
      </w:r>
      <w:r w:rsidR="00986D03">
        <w:t>on PBO activities</w:t>
      </w:r>
      <w:r w:rsidR="0056649D">
        <w:t xml:space="preserve"> since </w:t>
      </w:r>
      <w:r w:rsidR="00E43091">
        <w:t xml:space="preserve">the </w:t>
      </w:r>
      <w:r w:rsidR="006A49DE">
        <w:t>commencement of 2016</w:t>
      </w:r>
      <w:r w:rsidR="002A569E">
        <w:t>–</w:t>
      </w:r>
      <w:r w:rsidR="006A49DE">
        <w:t>17.</w:t>
      </w:r>
    </w:p>
    <w:p w:rsidR="007D65A5" w:rsidRDefault="007D65A5" w:rsidP="007D65A5">
      <w:pPr>
        <w:pStyle w:val="PBOheading2"/>
      </w:pPr>
      <w:r w:rsidRPr="00A55569">
        <w:t xml:space="preserve">Requests from </w:t>
      </w:r>
      <w:r w:rsidR="00B23802">
        <w:t>p</w:t>
      </w:r>
      <w:r w:rsidRPr="00A55569">
        <w:t>arliamentarians</w:t>
      </w:r>
      <w:r w:rsidR="00B23802">
        <w:t xml:space="preserve"> and parliamentary parties</w:t>
      </w:r>
    </w:p>
    <w:p w:rsidR="0012673C" w:rsidRDefault="00467845" w:rsidP="007D65A5">
      <w:pPr>
        <w:pStyle w:val="PBOtext"/>
      </w:pPr>
      <w:r>
        <w:t xml:space="preserve">In the first quarter of 2016–17, the PBO responded to </w:t>
      </w:r>
      <w:r w:rsidR="00527D41">
        <w:t xml:space="preserve">576 </w:t>
      </w:r>
      <w:r>
        <w:t>requests</w:t>
      </w:r>
      <w:r w:rsidR="0048170C">
        <w:t xml:space="preserve"> </w:t>
      </w:r>
      <w:r>
        <w:t xml:space="preserve">from parliamentarians at an average turnaround time of </w:t>
      </w:r>
      <w:r w:rsidR="00527D41">
        <w:t xml:space="preserve">5.8 </w:t>
      </w:r>
      <w:r>
        <w:t xml:space="preserve">business days and a median time to completion of </w:t>
      </w:r>
      <w:r w:rsidR="00527D41">
        <w:t xml:space="preserve">6 </w:t>
      </w:r>
      <w:r>
        <w:t>business days (refer to Table 1).</w:t>
      </w:r>
      <w:r w:rsidR="002A569E">
        <w:t xml:space="preserve">  </w:t>
      </w:r>
      <w:r w:rsidR="0012673C">
        <w:t xml:space="preserve">The bulk of these requests related to costings prepared for the post-election report of election commitments.  The </w:t>
      </w:r>
      <w:r w:rsidR="002A569E">
        <w:t xml:space="preserve">turnaround time </w:t>
      </w:r>
      <w:r w:rsidR="0012673C">
        <w:t xml:space="preserve">in </w:t>
      </w:r>
      <w:r w:rsidR="006F770F">
        <w:t xml:space="preserve">quarter 1, </w:t>
      </w:r>
      <w:r w:rsidR="0012673C">
        <w:t>2016</w:t>
      </w:r>
      <w:r w:rsidR="0012673C">
        <w:noBreakHyphen/>
        <w:t xml:space="preserve">17 </w:t>
      </w:r>
      <w:r w:rsidR="002A569E">
        <w:t>reflects</w:t>
      </w:r>
      <w:r w:rsidR="0012673C">
        <w:t xml:space="preserve"> that many of these requests had </w:t>
      </w:r>
      <w:r w:rsidR="00F8022A">
        <w:t>previously</w:t>
      </w:r>
      <w:r w:rsidR="0012673C">
        <w:t xml:space="preserve"> been completed by the PBO on a confidential basis.</w:t>
      </w:r>
    </w:p>
    <w:p w:rsidR="007D65A5" w:rsidRDefault="00152D5E" w:rsidP="007D65A5">
      <w:pPr>
        <w:pStyle w:val="PBOtext"/>
      </w:pPr>
      <w:r w:rsidRPr="006B6E81">
        <w:t xml:space="preserve">In the </w:t>
      </w:r>
      <w:r w:rsidR="00986D03">
        <w:t>same period</w:t>
      </w:r>
      <w:r w:rsidRPr="006B6E81">
        <w:t xml:space="preserve">, the PBO received </w:t>
      </w:r>
      <w:r w:rsidR="00DA19EE">
        <w:t>30</w:t>
      </w:r>
      <w:r w:rsidR="00DA19EE" w:rsidRPr="006B6E81">
        <w:t xml:space="preserve"> </w:t>
      </w:r>
      <w:r w:rsidR="007E6158" w:rsidRPr="006B6E81">
        <w:t xml:space="preserve">responses </w:t>
      </w:r>
      <w:r w:rsidR="009818CB">
        <w:t xml:space="preserve">from Commonwealth agencies </w:t>
      </w:r>
      <w:r w:rsidR="007E6158" w:rsidRPr="006B6E81">
        <w:t xml:space="preserve">to information requests at an average turnaround time of </w:t>
      </w:r>
      <w:r w:rsidR="00E12A06">
        <w:t>13.7</w:t>
      </w:r>
      <w:r w:rsidR="00DA19EE" w:rsidRPr="006B6E81">
        <w:t xml:space="preserve"> </w:t>
      </w:r>
      <w:r w:rsidR="007E6158" w:rsidRPr="006B6E81">
        <w:t xml:space="preserve">business days </w:t>
      </w:r>
      <w:r w:rsidR="009818CB">
        <w:t xml:space="preserve">and with an average punctuality of </w:t>
      </w:r>
      <w:r w:rsidR="00E12A06">
        <w:t>2.5</w:t>
      </w:r>
      <w:r w:rsidR="002A569E">
        <w:t> </w:t>
      </w:r>
      <w:r w:rsidR="009818CB">
        <w:t>business day</w:t>
      </w:r>
      <w:r w:rsidR="00A60511">
        <w:t>s</w:t>
      </w:r>
      <w:r w:rsidR="009818CB">
        <w:t xml:space="preserve"> early </w:t>
      </w:r>
      <w:r w:rsidR="007E6158" w:rsidRPr="006B6E81">
        <w:t>(refer to Table 2).</w:t>
      </w:r>
      <w:r w:rsidR="00F45847">
        <w:t xml:space="preserve">  Table 3 contains details of </w:t>
      </w:r>
      <w:r w:rsidR="0013683A">
        <w:t>the</w:t>
      </w:r>
      <w:r w:rsidR="00F45847">
        <w:t xml:space="preserve"> responsiveness </w:t>
      </w:r>
      <w:r w:rsidR="0013683A">
        <w:t xml:space="preserve">of </w:t>
      </w:r>
      <w:r w:rsidR="00F45847">
        <w:t xml:space="preserve">Commonwealth agencies </w:t>
      </w:r>
      <w:r w:rsidR="0013683A">
        <w:t>to information requests during</w:t>
      </w:r>
      <w:r w:rsidR="00F45847">
        <w:t xml:space="preserve"> </w:t>
      </w:r>
      <w:r w:rsidR="00CC662C">
        <w:t>the first quarter of 2016–17</w:t>
      </w:r>
      <w:r w:rsidR="00F45847">
        <w:t>.</w:t>
      </w:r>
    </w:p>
    <w:p w:rsidR="002F6577" w:rsidRPr="0048170C" w:rsidRDefault="002F6577" w:rsidP="002F6577">
      <w:pPr>
        <w:pStyle w:val="PBOheading2"/>
      </w:pPr>
      <w:r w:rsidRPr="0048170C">
        <w:t>Post-election report of election commitments</w:t>
      </w:r>
    </w:p>
    <w:p w:rsidR="002F6577" w:rsidRPr="0048170C" w:rsidRDefault="002F6577" w:rsidP="002F6577">
      <w:pPr>
        <w:pStyle w:val="PBOtext"/>
      </w:pPr>
      <w:r w:rsidRPr="0048170C">
        <w:t>The Parliamentary Budget Officer is required, within 30 days after the end of the caretaker period for a general election, to prepare a post-election report of the budget impacts of the election commitments of each parliamentary party with five or more members in the Parliament immediately before the commencement of the caretaker period.</w:t>
      </w:r>
    </w:p>
    <w:p w:rsidR="002F6577" w:rsidRPr="0048170C" w:rsidRDefault="002F6577" w:rsidP="002F6577">
      <w:pPr>
        <w:pStyle w:val="PBOtext"/>
      </w:pPr>
      <w:r w:rsidRPr="0048170C">
        <w:t>For each designated parliamentary party, the post-election report includes costings of all the election commitments of that party that the Parliamentary Budget Officer, in his best professional judgement, reasonably believes would have a material impact on the Commonwealth budget estimates for the current financial year and the following three financial years, along with the total combined impact of those commitments on the budget.</w:t>
      </w:r>
    </w:p>
    <w:p w:rsidR="002F6577" w:rsidRPr="0048170C" w:rsidRDefault="002F6577" w:rsidP="002F6577">
      <w:pPr>
        <w:pStyle w:val="PBOtext"/>
      </w:pPr>
      <w:r w:rsidRPr="0048170C">
        <w:t>This report for the 2016 election was published on 5 August 2016.</w:t>
      </w:r>
    </w:p>
    <w:p w:rsidR="007D65A5" w:rsidRDefault="007D65A5" w:rsidP="00D82372">
      <w:pPr>
        <w:pStyle w:val="PBOheading2"/>
      </w:pPr>
      <w:r w:rsidRPr="0048170C">
        <w:t xml:space="preserve">Self-initiated </w:t>
      </w:r>
      <w:r w:rsidR="00986D03" w:rsidRPr="0048170C">
        <w:t xml:space="preserve">research </w:t>
      </w:r>
      <w:r w:rsidRPr="0048170C">
        <w:t>program</w:t>
      </w:r>
    </w:p>
    <w:p w:rsidR="00302596" w:rsidRDefault="00302596" w:rsidP="00302596">
      <w:pPr>
        <w:pStyle w:val="PBOtext"/>
      </w:pPr>
      <w:r>
        <w:t>Details of the PBO’s published research program for 2016</w:t>
      </w:r>
      <w:r w:rsidR="002A569E">
        <w:t>–</w:t>
      </w:r>
      <w:r>
        <w:t xml:space="preserve">17 are set out in our 2016–17 work plan that was published on </w:t>
      </w:r>
      <w:r w:rsidR="002F6577">
        <w:t>9 August 2016</w:t>
      </w:r>
      <w:r>
        <w:t>.</w:t>
      </w:r>
    </w:p>
    <w:p w:rsidR="002F6577" w:rsidRDefault="002F6577" w:rsidP="002F6577">
      <w:pPr>
        <w:pStyle w:val="PBOtext"/>
      </w:pPr>
      <w:r>
        <w:t xml:space="preserve">A report on the </w:t>
      </w:r>
      <w:r w:rsidRPr="002F6577">
        <w:t xml:space="preserve">national fiscal outlook over the forward estimates period </w:t>
      </w:r>
      <w:r w:rsidR="002A569E">
        <w:t>is expected to</w:t>
      </w:r>
      <w:r w:rsidR="002A569E" w:rsidRPr="002F6577">
        <w:t xml:space="preserve"> </w:t>
      </w:r>
      <w:r w:rsidRPr="002F6577">
        <w:t xml:space="preserve">be published </w:t>
      </w:r>
      <w:r>
        <w:t>in November 2016.</w:t>
      </w:r>
    </w:p>
    <w:p w:rsidR="002F6577" w:rsidRDefault="002F6577" w:rsidP="002F6577">
      <w:pPr>
        <w:pStyle w:val="PBOtext"/>
      </w:pPr>
      <w:r>
        <w:t>The remaining reports flagged in the work plan are expected to be published progressively over the course of the financial year.</w:t>
      </w:r>
    </w:p>
    <w:p w:rsidR="007D65A5" w:rsidRPr="007B542B" w:rsidRDefault="007D65A5" w:rsidP="00D82372">
      <w:pPr>
        <w:pStyle w:val="PBOheading2"/>
      </w:pPr>
      <w:r>
        <w:lastRenderedPageBreak/>
        <w:t xml:space="preserve">Capacity </w:t>
      </w:r>
      <w:r w:rsidR="00036023">
        <w:t>b</w:t>
      </w:r>
      <w:r>
        <w:t>uilding</w:t>
      </w:r>
      <w:r w:rsidR="00A22791">
        <w:t xml:space="preserve"> and information management</w:t>
      </w:r>
    </w:p>
    <w:p w:rsidR="007D65A5" w:rsidRDefault="00C37A65" w:rsidP="007D65A5">
      <w:pPr>
        <w:pStyle w:val="PBOtext"/>
      </w:pPr>
      <w:r>
        <w:t xml:space="preserve">The PBO </w:t>
      </w:r>
      <w:r w:rsidR="009818CB">
        <w:t>continue</w:t>
      </w:r>
      <w:r>
        <w:t>s</w:t>
      </w:r>
      <w:r w:rsidR="009818CB">
        <w:t xml:space="preserve"> to </w:t>
      </w:r>
      <w:r w:rsidR="007D65A5">
        <w:t>acquir</w:t>
      </w:r>
      <w:r w:rsidR="009818CB">
        <w:t>e</w:t>
      </w:r>
      <w:r w:rsidR="007D65A5">
        <w:t xml:space="preserve"> detailed datasets</w:t>
      </w:r>
      <w:r w:rsidR="0079356B">
        <w:t xml:space="preserve"> and develop</w:t>
      </w:r>
      <w:r w:rsidR="007D65A5">
        <w:t xml:space="preserve"> models covering major demand driven expenditure programs and elements of the tax and transfer system</w:t>
      </w:r>
      <w:r w:rsidR="009818CB">
        <w:t xml:space="preserve"> to </w:t>
      </w:r>
      <w:r w:rsidR="005A1A88">
        <w:t xml:space="preserve">further </w:t>
      </w:r>
      <w:r w:rsidR="007D65A5">
        <w:t xml:space="preserve">improve the </w:t>
      </w:r>
      <w:r w:rsidR="005A1A88">
        <w:t xml:space="preserve">PBO’s responsiveness and the </w:t>
      </w:r>
      <w:r w:rsidR="007D65A5">
        <w:t xml:space="preserve">quality and reliability of </w:t>
      </w:r>
      <w:r w:rsidR="0013683A">
        <w:t xml:space="preserve">our </w:t>
      </w:r>
      <w:r w:rsidR="007D65A5">
        <w:t>costings and budget analyses</w:t>
      </w:r>
      <w:r w:rsidR="005A1A88">
        <w:t>.</w:t>
      </w:r>
    </w:p>
    <w:p w:rsidR="007B2889" w:rsidRDefault="00C37A65" w:rsidP="00C43339">
      <w:pPr>
        <w:pStyle w:val="PBOtext"/>
      </w:pPr>
      <w:r>
        <w:t xml:space="preserve">The PBO </w:t>
      </w:r>
      <w:r w:rsidR="0028359E">
        <w:t>implement</w:t>
      </w:r>
      <w:r w:rsidR="00D0220B">
        <w:t>ed</w:t>
      </w:r>
      <w:r w:rsidR="0028359E">
        <w:t xml:space="preserve"> </w:t>
      </w:r>
      <w:r w:rsidR="002F27AB">
        <w:t>a new workflow management system</w:t>
      </w:r>
      <w:r w:rsidR="00B64528">
        <w:t xml:space="preserve"> </w:t>
      </w:r>
      <w:r w:rsidR="00D0220B">
        <w:t>on 4</w:t>
      </w:r>
      <w:r>
        <w:t xml:space="preserve"> May</w:t>
      </w:r>
      <w:r w:rsidR="00075898">
        <w:t> </w:t>
      </w:r>
      <w:r w:rsidR="00B64528">
        <w:t>2016</w:t>
      </w:r>
      <w:r>
        <w:t xml:space="preserve"> that </w:t>
      </w:r>
      <w:r w:rsidR="00C012A1">
        <w:t>has already yielded</w:t>
      </w:r>
      <w:r>
        <w:t xml:space="preserve"> significant efficiency improvements in our work practices</w:t>
      </w:r>
      <w:r w:rsidR="002F27AB">
        <w:t xml:space="preserve">.  </w:t>
      </w:r>
    </w:p>
    <w:p w:rsidR="007D65A5" w:rsidRDefault="00710364" w:rsidP="00D82372">
      <w:pPr>
        <w:pStyle w:val="PBOheading2"/>
      </w:pPr>
      <w:r>
        <w:t>External e</w:t>
      </w:r>
      <w:r w:rsidR="007D65A5" w:rsidRPr="00A55569">
        <w:t>ngagement</w:t>
      </w:r>
    </w:p>
    <w:p w:rsidR="00DB7404" w:rsidRDefault="00D537C5" w:rsidP="00DB7404">
      <w:pPr>
        <w:pStyle w:val="PBOtext"/>
      </w:pPr>
      <w:r>
        <w:t>The PBO continues to engage on a regular basis with government agencies, peer organisations and international institutions and bodies.</w:t>
      </w:r>
    </w:p>
    <w:p w:rsidR="00DB7404" w:rsidRDefault="005B325D" w:rsidP="00732136">
      <w:pPr>
        <w:pStyle w:val="PBOtext"/>
      </w:pPr>
      <w:r>
        <w:t xml:space="preserve">At the request of </w:t>
      </w:r>
      <w:r w:rsidR="006F770F">
        <w:t xml:space="preserve">the </w:t>
      </w:r>
      <w:r>
        <w:t>Parliamentary Budget Office of the Republic of South Africa, t</w:t>
      </w:r>
      <w:r w:rsidR="006A49DE">
        <w:t xml:space="preserve">he Parliamentary Budget Officer </w:t>
      </w:r>
      <w:r w:rsidR="00F8022A">
        <w:t xml:space="preserve">participated in </w:t>
      </w:r>
      <w:r w:rsidR="006A49DE">
        <w:t xml:space="preserve">the </w:t>
      </w:r>
      <w:r w:rsidR="001B7989">
        <w:t xml:space="preserve">2016 African Parliamentary Budget Office Conference </w:t>
      </w:r>
      <w:r>
        <w:t xml:space="preserve">in August 2016, held in </w:t>
      </w:r>
      <w:r w:rsidR="001B7989">
        <w:t>Cape Town, South Africa.</w:t>
      </w:r>
    </w:p>
    <w:p w:rsidR="007D65A5" w:rsidRPr="00A55569" w:rsidRDefault="007D65A5" w:rsidP="007E6158">
      <w:pPr>
        <w:pStyle w:val="PBOheading2"/>
        <w:spacing w:after="120"/>
      </w:pPr>
      <w:r w:rsidRPr="00A55569">
        <w:t xml:space="preserve">PBO </w:t>
      </w:r>
      <w:r w:rsidR="00742FB7">
        <w:t>s</w:t>
      </w:r>
      <w:r w:rsidRPr="00A55569">
        <w:t>taffing</w:t>
      </w:r>
    </w:p>
    <w:p w:rsidR="00392BA4" w:rsidRDefault="007D65A5" w:rsidP="00626105">
      <w:pPr>
        <w:pStyle w:val="PBOtext"/>
      </w:pPr>
      <w:r>
        <w:t xml:space="preserve">The PBO </w:t>
      </w:r>
      <w:r w:rsidR="0013683A">
        <w:t xml:space="preserve">has a staffing establishment of </w:t>
      </w:r>
      <w:r w:rsidR="00E401D9">
        <w:t xml:space="preserve">approximately 40 </w:t>
      </w:r>
      <w:r>
        <w:t xml:space="preserve">positions and </w:t>
      </w:r>
      <w:r w:rsidR="0013683A">
        <w:t xml:space="preserve">receives additional funding every third year in the lead up to a general election to boost its staffing.  </w:t>
      </w:r>
      <w:r w:rsidR="00EE54F2">
        <w:t xml:space="preserve">At 30 September 2016, the PBO had </w:t>
      </w:r>
      <w:r w:rsidR="005427A7">
        <w:t>4</w:t>
      </w:r>
      <w:r w:rsidR="0075566C">
        <w:t>5</w:t>
      </w:r>
      <w:r w:rsidR="005427A7">
        <w:t xml:space="preserve"> </w:t>
      </w:r>
      <w:r w:rsidR="00EE54F2">
        <w:t>staff (refer to Table 4)</w:t>
      </w:r>
      <w:r w:rsidR="005427A7">
        <w:t>, which reflects the increase in staff associated with the lead up to the general election.</w:t>
      </w:r>
      <w:r w:rsidR="005B325D">
        <w:t xml:space="preserve">  In addition, the PBO currently has two secondees under the 2016 Parliament of Australia graduate program.</w:t>
      </w:r>
    </w:p>
    <w:p w:rsidR="00440916" w:rsidRPr="00626105" w:rsidRDefault="00440916" w:rsidP="00626105">
      <w:pPr>
        <w:pStyle w:val="PBOtext"/>
      </w:pPr>
      <w:r w:rsidRPr="00626105">
        <w:br w:type="page"/>
      </w:r>
    </w:p>
    <w:p w:rsidR="00EE10A1" w:rsidRPr="008C72D3" w:rsidRDefault="005D002A" w:rsidP="008C72D3">
      <w:pPr>
        <w:pStyle w:val="PBOheading1"/>
      </w:pPr>
      <w:r>
        <w:lastRenderedPageBreak/>
        <w:t>Requests from p</w:t>
      </w:r>
      <w:r w:rsidR="00EE10A1" w:rsidRPr="008C72D3">
        <w:t xml:space="preserve">arliamentarians </w:t>
      </w:r>
      <w:r w:rsidR="001244FE">
        <w:t xml:space="preserve">and parliamentary parties </w:t>
      </w:r>
      <w:r w:rsidR="00EE10A1" w:rsidRPr="008C72D3">
        <w:t>for costings</w:t>
      </w:r>
      <w:r w:rsidR="001244FE">
        <w:t xml:space="preserve"> and budget</w:t>
      </w:r>
      <w:r w:rsidR="00EE10A1" w:rsidRPr="008C72D3">
        <w:t xml:space="preserve"> analyses</w:t>
      </w:r>
    </w:p>
    <w:p w:rsidR="006008B9" w:rsidRPr="00BF637E" w:rsidRDefault="00150BBB">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D543A7">
        <w:rPr>
          <w:rFonts w:asciiTheme="minorHAnsi" w:eastAsiaTheme="minorHAnsi" w:hAnsiTheme="minorHAnsi" w:cstheme="minorBidi"/>
          <w:color w:val="1F497D" w:themeColor="text2"/>
          <w:spacing w:val="-4"/>
          <w:sz w:val="20"/>
          <w:lang w:eastAsia="en-US"/>
        </w:rPr>
        <w:t>Table 1</w:t>
      </w:r>
      <w:r w:rsidR="00A55569" w:rsidRPr="00D543A7">
        <w:rPr>
          <w:rFonts w:asciiTheme="minorHAnsi" w:eastAsiaTheme="minorHAnsi" w:hAnsiTheme="minorHAnsi" w:cstheme="minorBidi"/>
          <w:color w:val="1F497D" w:themeColor="text2"/>
          <w:spacing w:val="-4"/>
          <w:sz w:val="20"/>
          <w:lang w:eastAsia="en-US"/>
        </w:rPr>
        <w:t>:</w:t>
      </w:r>
      <w:r w:rsidRPr="00D543A7">
        <w:rPr>
          <w:rFonts w:asciiTheme="minorHAnsi" w:eastAsiaTheme="minorHAnsi" w:hAnsiTheme="minorHAnsi" w:cstheme="minorBidi"/>
          <w:color w:val="1F497D" w:themeColor="text2"/>
          <w:spacing w:val="-4"/>
          <w:sz w:val="20"/>
          <w:lang w:eastAsia="en-US"/>
        </w:rPr>
        <w:t xml:space="preserve"> </w:t>
      </w:r>
      <w:r w:rsidR="007E6158">
        <w:rPr>
          <w:rFonts w:asciiTheme="minorHAnsi" w:eastAsiaTheme="minorHAnsi" w:hAnsiTheme="minorHAnsi" w:cstheme="minorBidi"/>
          <w:color w:val="1F497D" w:themeColor="text2"/>
          <w:spacing w:val="-4"/>
          <w:sz w:val="20"/>
          <w:lang w:eastAsia="en-US"/>
        </w:rPr>
        <w:t xml:space="preserve">Costing and budget analysis requests from parliamentarians and parliamentary parties to </w:t>
      </w:r>
      <w:r w:rsidR="0056304F">
        <w:rPr>
          <w:rFonts w:asciiTheme="minorHAnsi" w:eastAsiaTheme="minorHAnsi" w:hAnsiTheme="minorHAnsi" w:cstheme="minorBidi"/>
          <w:color w:val="1F497D" w:themeColor="text2"/>
          <w:spacing w:val="-4"/>
          <w:sz w:val="20"/>
          <w:lang w:eastAsia="en-US"/>
        </w:rPr>
        <w:br/>
        <w:t>30 September 2016</w:t>
      </w:r>
    </w:p>
    <w:tbl>
      <w:tblPr>
        <w:tblStyle w:val="TableGrid11"/>
        <w:tblpPr w:leftFromText="180" w:rightFromText="180" w:bottomFromText="155" w:vertAnchor="text"/>
        <w:tblW w:w="4947" w:type="pct"/>
        <w:tblLayout w:type="fixed"/>
        <w:tblLook w:val="04A0" w:firstRow="1" w:lastRow="0" w:firstColumn="1" w:lastColumn="0" w:noHBand="0" w:noVBand="1"/>
      </w:tblPr>
      <w:tblGrid>
        <w:gridCol w:w="3117"/>
        <w:gridCol w:w="1163"/>
        <w:gridCol w:w="1163"/>
        <w:gridCol w:w="1163"/>
        <w:gridCol w:w="1163"/>
        <w:gridCol w:w="1161"/>
      </w:tblGrid>
      <w:tr w:rsidR="00D20BD9" w:rsidRPr="00764FC5" w:rsidTr="00D20BD9">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100" w:firstRow="0" w:lastRow="0" w:firstColumn="1" w:lastColumn="0" w:oddVBand="0" w:evenVBand="0" w:oddHBand="0" w:evenHBand="0" w:firstRowFirstColumn="1" w:firstRowLastColumn="0" w:lastRowFirstColumn="0" w:lastRowLastColumn="0"/>
            <w:tcW w:w="1746" w:type="pct"/>
            <w:noWrap/>
          </w:tcPr>
          <w:p w:rsidR="00D20BD9" w:rsidRPr="00764FC5" w:rsidRDefault="00D20BD9" w:rsidP="00E30F46">
            <w:pPr>
              <w:keepNext/>
              <w:keepLines/>
              <w:spacing w:before="0" w:after="200" w:line="240" w:lineRule="auto"/>
              <w:ind w:left="0" w:right="0"/>
              <w:rPr>
                <w:rFonts w:eastAsia="Calibri"/>
                <w:b/>
                <w:color w:val="auto"/>
                <w:sz w:val="18"/>
                <w:szCs w:val="18"/>
                <w:lang w:eastAsia="en-US"/>
              </w:rPr>
            </w:pPr>
          </w:p>
        </w:tc>
        <w:tc>
          <w:tcPr>
            <w:tcW w:w="651" w:type="pct"/>
          </w:tcPr>
          <w:p w:rsidR="00D20BD9" w:rsidRPr="001244FE" w:rsidRDefault="00D20BD9"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D20BD9" w:rsidRPr="00764FC5" w:rsidRDefault="00D20BD9" w:rsidP="00E30F46">
            <w:pPr>
              <w:keepNext/>
              <w:keepLines/>
              <w:cnfStyle w:val="100000000000" w:firstRow="1" w:lastRow="0" w:firstColumn="0" w:lastColumn="0" w:oddVBand="0" w:evenVBand="0" w:oddHBand="0" w:evenHBand="0" w:firstRowFirstColumn="0" w:firstRowLastColumn="0" w:lastRowFirstColumn="0" w:lastRowLastColumn="0"/>
              <w:rPr>
                <w:rFonts w:eastAsia="Calibri"/>
                <w:b/>
                <w:color w:val="auto"/>
                <w:sz w:val="18"/>
                <w:szCs w:val="18"/>
                <w:lang w:eastAsia="en-US"/>
              </w:rPr>
            </w:pPr>
            <w:r w:rsidRPr="001244FE">
              <w:rPr>
                <w:rFonts w:asciiTheme="minorHAnsi" w:hAnsiTheme="minorHAnsi"/>
                <w:b/>
                <w:sz w:val="18"/>
                <w:szCs w:val="18"/>
              </w:rPr>
              <w:t>Total</w:t>
            </w:r>
          </w:p>
        </w:tc>
        <w:tc>
          <w:tcPr>
            <w:tcW w:w="651" w:type="pct"/>
          </w:tcPr>
          <w:p w:rsidR="00D20BD9" w:rsidRPr="001244FE" w:rsidRDefault="00D20BD9"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D20BD9" w:rsidRPr="00764FC5" w:rsidRDefault="00D20BD9" w:rsidP="00FD13B6">
            <w:pPr>
              <w:keepNext/>
              <w:keepLines/>
              <w:cnfStyle w:val="100000000000" w:firstRow="1" w:lastRow="0" w:firstColumn="0" w:lastColumn="0" w:oddVBand="0" w:evenVBand="0" w:oddHBand="0" w:evenHBand="0" w:firstRowFirstColumn="0" w:firstRowLastColumn="0" w:lastRowFirstColumn="0" w:lastRowLastColumn="0"/>
              <w:rPr>
                <w:rFonts w:eastAsia="Calibri"/>
                <w:b/>
                <w:color w:val="auto"/>
                <w:sz w:val="18"/>
                <w:szCs w:val="18"/>
                <w:lang w:eastAsia="en-US"/>
              </w:rPr>
            </w:pPr>
            <w:r w:rsidRPr="001244FE">
              <w:rPr>
                <w:rFonts w:asciiTheme="minorHAnsi" w:hAnsiTheme="minorHAnsi"/>
                <w:b/>
                <w:sz w:val="18"/>
                <w:szCs w:val="18"/>
              </w:rPr>
              <w:t>Total</w:t>
            </w:r>
            <w:r>
              <w:rPr>
                <w:rFonts w:asciiTheme="minorHAnsi" w:hAnsiTheme="minorHAnsi"/>
                <w:b/>
                <w:sz w:val="18"/>
                <w:szCs w:val="18"/>
              </w:rPr>
              <w:t xml:space="preserve"> </w:t>
            </w:r>
          </w:p>
        </w:tc>
        <w:tc>
          <w:tcPr>
            <w:tcW w:w="651" w:type="pct"/>
          </w:tcPr>
          <w:p w:rsidR="00D20BD9" w:rsidRPr="00D77CDE" w:rsidRDefault="00D20BD9"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2014–15</w:t>
            </w:r>
          </w:p>
          <w:p w:rsidR="00D20BD9" w:rsidRPr="001244FE" w:rsidRDefault="00D20BD9"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Total</w:t>
            </w:r>
          </w:p>
        </w:tc>
        <w:tc>
          <w:tcPr>
            <w:tcW w:w="651" w:type="pct"/>
          </w:tcPr>
          <w:p w:rsidR="00D20BD9" w:rsidRPr="001244FE" w:rsidRDefault="00D20BD9"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w:t>
            </w:r>
            <w:r>
              <w:rPr>
                <w:rFonts w:asciiTheme="minorHAnsi" w:hAnsiTheme="minorHAnsi"/>
                <w:b/>
                <w:sz w:val="18"/>
                <w:szCs w:val="18"/>
              </w:rPr>
              <w:t>5</w:t>
            </w:r>
            <w:r w:rsidRPr="001244FE">
              <w:rPr>
                <w:rFonts w:asciiTheme="minorHAnsi" w:hAnsiTheme="minorHAnsi"/>
                <w:b/>
                <w:sz w:val="18"/>
                <w:szCs w:val="18"/>
              </w:rPr>
              <w:t>–1</w:t>
            </w:r>
            <w:r>
              <w:rPr>
                <w:rFonts w:asciiTheme="minorHAnsi" w:hAnsiTheme="minorHAnsi"/>
                <w:b/>
                <w:sz w:val="18"/>
                <w:szCs w:val="18"/>
              </w:rPr>
              <w:t>6</w:t>
            </w:r>
          </w:p>
          <w:p w:rsidR="00D20BD9" w:rsidRPr="001E1EE2" w:rsidRDefault="00D20BD9" w:rsidP="00E30F46">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b/>
                <w:sz w:val="18"/>
                <w:szCs w:val="18"/>
              </w:rPr>
              <w:t>Total</w:t>
            </w:r>
          </w:p>
        </w:tc>
        <w:tc>
          <w:tcPr>
            <w:tcW w:w="651" w:type="pct"/>
          </w:tcPr>
          <w:p w:rsidR="00D20BD9" w:rsidRDefault="00D20BD9" w:rsidP="00D20B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E1EE2">
              <w:rPr>
                <w:rFonts w:asciiTheme="minorHAnsi" w:hAnsiTheme="minorHAnsi"/>
                <w:sz w:val="18"/>
                <w:szCs w:val="18"/>
              </w:rPr>
              <w:t>201</w:t>
            </w:r>
            <w:r>
              <w:rPr>
                <w:rFonts w:asciiTheme="minorHAnsi" w:hAnsiTheme="minorHAnsi"/>
                <w:sz w:val="18"/>
                <w:szCs w:val="18"/>
              </w:rPr>
              <w:t>6–</w:t>
            </w:r>
            <w:r w:rsidRPr="001E1EE2">
              <w:rPr>
                <w:rFonts w:asciiTheme="minorHAnsi" w:hAnsiTheme="minorHAnsi"/>
                <w:sz w:val="18"/>
                <w:szCs w:val="18"/>
              </w:rPr>
              <w:t>1</w:t>
            </w:r>
            <w:r>
              <w:rPr>
                <w:rFonts w:asciiTheme="minorHAnsi" w:hAnsiTheme="minorHAnsi"/>
                <w:sz w:val="18"/>
                <w:szCs w:val="18"/>
              </w:rPr>
              <w:t>7</w:t>
            </w:r>
          </w:p>
          <w:p w:rsidR="00D20BD9" w:rsidRPr="001244FE" w:rsidRDefault="00D20BD9" w:rsidP="00D20B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sz w:val="18"/>
                <w:szCs w:val="18"/>
              </w:rPr>
              <w:t>Q1</w:t>
            </w:r>
          </w:p>
        </w:tc>
      </w:tr>
      <w:tr w:rsidR="00D20BD9" w:rsidRPr="00491308" w:rsidTr="00D20BD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746" w:type="pct"/>
            <w:noWrap/>
            <w:hideMark/>
          </w:tcPr>
          <w:p w:rsidR="00D20BD9" w:rsidRPr="00491308" w:rsidRDefault="00D20BD9" w:rsidP="00491308">
            <w:pPr>
              <w:jc w:val="center"/>
              <w:rPr>
                <w:rFonts w:cs="Arial"/>
                <w:bCs/>
                <w:sz w:val="18"/>
                <w:szCs w:val="18"/>
              </w:rPr>
            </w:pPr>
            <w:r w:rsidRPr="00491308">
              <w:rPr>
                <w:rFonts w:cs="Arial"/>
                <w:bCs/>
                <w:sz w:val="18"/>
                <w:szCs w:val="18"/>
              </w:rPr>
              <w:t>Requests outstanding at start of period</w:t>
            </w:r>
          </w:p>
        </w:tc>
        <w:tc>
          <w:tcPr>
            <w:tcW w:w="651" w:type="pct"/>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w:t>
            </w:r>
          </w:p>
        </w:tc>
        <w:tc>
          <w:tcPr>
            <w:tcW w:w="651" w:type="pct"/>
            <w:noWrap/>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463</w:t>
            </w:r>
          </w:p>
        </w:tc>
        <w:tc>
          <w:tcPr>
            <w:tcW w:w="651" w:type="pct"/>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76</w:t>
            </w:r>
          </w:p>
        </w:tc>
        <w:tc>
          <w:tcPr>
            <w:tcW w:w="651" w:type="pct"/>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138</w:t>
            </w:r>
          </w:p>
        </w:tc>
        <w:tc>
          <w:tcPr>
            <w:tcW w:w="651" w:type="pct"/>
          </w:tcPr>
          <w:p w:rsidR="00D20BD9" w:rsidRPr="00491308" w:rsidRDefault="00357D9F" w:rsidP="0049130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91308">
              <w:rPr>
                <w:rFonts w:cs="Arial"/>
                <w:bCs/>
                <w:sz w:val="18"/>
                <w:szCs w:val="18"/>
              </w:rPr>
              <w:t>20</w:t>
            </w:r>
          </w:p>
        </w:tc>
      </w:tr>
      <w:tr w:rsidR="00D20BD9" w:rsidRPr="00491308" w:rsidTr="00D20BD9">
        <w:trPr>
          <w:trHeight w:val="459"/>
        </w:trPr>
        <w:tc>
          <w:tcPr>
            <w:cnfStyle w:val="001000000000" w:firstRow="0" w:lastRow="0" w:firstColumn="1" w:lastColumn="0" w:oddVBand="0" w:evenVBand="0" w:oddHBand="0" w:evenHBand="0" w:firstRowFirstColumn="0" w:firstRowLastColumn="0" w:lastRowFirstColumn="0" w:lastRowLastColumn="0"/>
            <w:tcW w:w="1746" w:type="pct"/>
            <w:noWrap/>
            <w:hideMark/>
          </w:tcPr>
          <w:p w:rsidR="00D20BD9" w:rsidRPr="00491308" w:rsidRDefault="00D20BD9" w:rsidP="00491308">
            <w:pPr>
              <w:jc w:val="center"/>
              <w:rPr>
                <w:rFonts w:cs="Arial"/>
                <w:bCs/>
                <w:sz w:val="18"/>
                <w:szCs w:val="18"/>
              </w:rPr>
            </w:pPr>
            <w:r w:rsidRPr="00491308">
              <w:rPr>
                <w:rFonts w:cs="Arial"/>
                <w:bCs/>
                <w:sz w:val="18"/>
                <w:szCs w:val="18"/>
              </w:rPr>
              <w:t>Requests received in period</w:t>
            </w:r>
          </w:p>
        </w:tc>
        <w:tc>
          <w:tcPr>
            <w:tcW w:w="651" w:type="pct"/>
          </w:tcPr>
          <w:p w:rsidR="00D20BD9" w:rsidRPr="00491308" w:rsidRDefault="00D20BD9" w:rsidP="0049130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1,146</w:t>
            </w:r>
          </w:p>
        </w:tc>
        <w:tc>
          <w:tcPr>
            <w:tcW w:w="651" w:type="pct"/>
            <w:noWrap/>
            <w:hideMark/>
          </w:tcPr>
          <w:p w:rsidR="00D20BD9" w:rsidRPr="00491308" w:rsidRDefault="00D20BD9" w:rsidP="0049130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1,297</w:t>
            </w:r>
          </w:p>
        </w:tc>
        <w:tc>
          <w:tcPr>
            <w:tcW w:w="651" w:type="pct"/>
          </w:tcPr>
          <w:p w:rsidR="00D20BD9" w:rsidRPr="00491308" w:rsidRDefault="00D20BD9" w:rsidP="0049130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973</w:t>
            </w:r>
          </w:p>
        </w:tc>
        <w:tc>
          <w:tcPr>
            <w:tcW w:w="651" w:type="pct"/>
          </w:tcPr>
          <w:p w:rsidR="00D20BD9" w:rsidRPr="00491308" w:rsidRDefault="00D20BD9" w:rsidP="0049130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4,146</w:t>
            </w:r>
          </w:p>
        </w:tc>
        <w:tc>
          <w:tcPr>
            <w:tcW w:w="651" w:type="pct"/>
          </w:tcPr>
          <w:p w:rsidR="00D20BD9" w:rsidRPr="00491308" w:rsidRDefault="00527D41" w:rsidP="0049130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491308">
              <w:rPr>
                <w:rFonts w:cs="Arial"/>
                <w:bCs/>
                <w:sz w:val="18"/>
                <w:szCs w:val="18"/>
              </w:rPr>
              <w:t>787</w:t>
            </w:r>
          </w:p>
        </w:tc>
      </w:tr>
      <w:tr w:rsidR="00D20BD9" w:rsidRPr="00491308" w:rsidTr="00D20BD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746" w:type="pct"/>
            <w:noWrap/>
            <w:hideMark/>
          </w:tcPr>
          <w:p w:rsidR="00D20BD9" w:rsidRPr="00491308" w:rsidRDefault="00D20BD9" w:rsidP="00491308">
            <w:pPr>
              <w:jc w:val="center"/>
              <w:rPr>
                <w:rFonts w:cs="Arial"/>
                <w:bCs/>
                <w:sz w:val="18"/>
                <w:szCs w:val="18"/>
              </w:rPr>
            </w:pPr>
            <w:r w:rsidRPr="00491308">
              <w:rPr>
                <w:rFonts w:cs="Arial"/>
                <w:bCs/>
                <w:sz w:val="18"/>
                <w:szCs w:val="18"/>
              </w:rPr>
              <w:t>Requests withdrawn in period</w:t>
            </w:r>
          </w:p>
        </w:tc>
        <w:tc>
          <w:tcPr>
            <w:tcW w:w="651" w:type="pct"/>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19</w:t>
            </w:r>
          </w:p>
        </w:tc>
        <w:tc>
          <w:tcPr>
            <w:tcW w:w="651" w:type="pct"/>
            <w:noWrap/>
            <w:hideMark/>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162</w:t>
            </w:r>
          </w:p>
        </w:tc>
        <w:tc>
          <w:tcPr>
            <w:tcW w:w="651" w:type="pct"/>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42</w:t>
            </w:r>
          </w:p>
        </w:tc>
        <w:tc>
          <w:tcPr>
            <w:tcW w:w="651" w:type="pct"/>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1,013</w:t>
            </w:r>
          </w:p>
        </w:tc>
        <w:tc>
          <w:tcPr>
            <w:tcW w:w="651" w:type="pct"/>
          </w:tcPr>
          <w:p w:rsidR="00D20BD9" w:rsidRPr="00491308" w:rsidRDefault="00527D41" w:rsidP="0049130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91308">
              <w:rPr>
                <w:rFonts w:cs="Arial"/>
                <w:bCs/>
                <w:sz w:val="18"/>
                <w:szCs w:val="18"/>
              </w:rPr>
              <w:t>28</w:t>
            </w:r>
          </w:p>
        </w:tc>
      </w:tr>
      <w:tr w:rsidR="00D20BD9" w:rsidRPr="00491308" w:rsidTr="00D20BD9">
        <w:trPr>
          <w:trHeight w:val="459"/>
        </w:trPr>
        <w:tc>
          <w:tcPr>
            <w:cnfStyle w:val="001000000000" w:firstRow="0" w:lastRow="0" w:firstColumn="1" w:lastColumn="0" w:oddVBand="0" w:evenVBand="0" w:oddHBand="0" w:evenHBand="0" w:firstRowFirstColumn="0" w:firstRowLastColumn="0" w:lastRowFirstColumn="0" w:lastRowLastColumn="0"/>
            <w:tcW w:w="1746" w:type="pct"/>
            <w:noWrap/>
            <w:hideMark/>
          </w:tcPr>
          <w:p w:rsidR="00D20BD9" w:rsidRPr="00491308" w:rsidRDefault="00D20BD9" w:rsidP="00491308">
            <w:pPr>
              <w:jc w:val="center"/>
              <w:rPr>
                <w:rFonts w:cs="Arial"/>
                <w:bCs/>
                <w:sz w:val="18"/>
                <w:szCs w:val="18"/>
              </w:rPr>
            </w:pPr>
            <w:r w:rsidRPr="00491308">
              <w:rPr>
                <w:rFonts w:cs="Arial"/>
                <w:bCs/>
                <w:sz w:val="18"/>
                <w:szCs w:val="18"/>
              </w:rPr>
              <w:t>Requests completed in period</w:t>
            </w:r>
          </w:p>
        </w:tc>
        <w:tc>
          <w:tcPr>
            <w:tcW w:w="651" w:type="pct"/>
          </w:tcPr>
          <w:p w:rsidR="00D20BD9" w:rsidRPr="00491308" w:rsidRDefault="00D20BD9" w:rsidP="0049130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664</w:t>
            </w:r>
          </w:p>
        </w:tc>
        <w:tc>
          <w:tcPr>
            <w:tcW w:w="651" w:type="pct"/>
            <w:noWrap/>
            <w:hideMark/>
          </w:tcPr>
          <w:p w:rsidR="00D20BD9" w:rsidRPr="00491308" w:rsidRDefault="00D20BD9" w:rsidP="0049130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1,522</w:t>
            </w:r>
          </w:p>
        </w:tc>
        <w:tc>
          <w:tcPr>
            <w:tcW w:w="651" w:type="pct"/>
          </w:tcPr>
          <w:p w:rsidR="00D20BD9" w:rsidRPr="00491308" w:rsidRDefault="00D20BD9" w:rsidP="0049130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869</w:t>
            </w:r>
          </w:p>
        </w:tc>
        <w:tc>
          <w:tcPr>
            <w:tcW w:w="651" w:type="pct"/>
          </w:tcPr>
          <w:p w:rsidR="00D20BD9" w:rsidRPr="00491308" w:rsidRDefault="00D20BD9" w:rsidP="0049130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3,251</w:t>
            </w:r>
          </w:p>
        </w:tc>
        <w:tc>
          <w:tcPr>
            <w:tcW w:w="651" w:type="pct"/>
          </w:tcPr>
          <w:p w:rsidR="00D20BD9" w:rsidRPr="00491308" w:rsidRDefault="00527D41" w:rsidP="0049130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491308">
              <w:rPr>
                <w:rFonts w:cs="Arial"/>
                <w:bCs/>
                <w:sz w:val="18"/>
                <w:szCs w:val="18"/>
              </w:rPr>
              <w:t>576</w:t>
            </w:r>
          </w:p>
        </w:tc>
      </w:tr>
      <w:tr w:rsidR="00D20BD9" w:rsidRPr="00491308" w:rsidTr="00D20BD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746" w:type="pct"/>
            <w:noWrap/>
            <w:hideMark/>
          </w:tcPr>
          <w:p w:rsidR="00D20BD9" w:rsidRPr="00491308" w:rsidRDefault="00D20BD9" w:rsidP="00491308">
            <w:pPr>
              <w:jc w:val="center"/>
              <w:rPr>
                <w:rFonts w:cs="Arial"/>
                <w:bCs/>
                <w:sz w:val="18"/>
                <w:szCs w:val="18"/>
              </w:rPr>
            </w:pPr>
            <w:r w:rsidRPr="00491308">
              <w:rPr>
                <w:rFonts w:cs="Arial"/>
                <w:bCs/>
                <w:sz w:val="18"/>
                <w:szCs w:val="18"/>
              </w:rPr>
              <w:t>Average time to completion (business days)</w:t>
            </w:r>
          </w:p>
        </w:tc>
        <w:tc>
          <w:tcPr>
            <w:tcW w:w="651" w:type="pct"/>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33.9</w:t>
            </w:r>
          </w:p>
        </w:tc>
        <w:tc>
          <w:tcPr>
            <w:tcW w:w="651" w:type="pct"/>
            <w:noWrap/>
            <w:hideMark/>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13.8</w:t>
            </w:r>
          </w:p>
        </w:tc>
        <w:tc>
          <w:tcPr>
            <w:tcW w:w="651" w:type="pct"/>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19.7</w:t>
            </w:r>
          </w:p>
        </w:tc>
        <w:tc>
          <w:tcPr>
            <w:tcW w:w="651" w:type="pct"/>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18.6</w:t>
            </w:r>
          </w:p>
        </w:tc>
        <w:tc>
          <w:tcPr>
            <w:tcW w:w="651" w:type="pct"/>
          </w:tcPr>
          <w:p w:rsidR="00D20BD9" w:rsidRPr="00491308" w:rsidRDefault="00527D41" w:rsidP="0049130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91308">
              <w:rPr>
                <w:rFonts w:cs="Arial"/>
                <w:bCs/>
                <w:sz w:val="18"/>
                <w:szCs w:val="18"/>
              </w:rPr>
              <w:t>5.8</w:t>
            </w:r>
          </w:p>
        </w:tc>
      </w:tr>
      <w:tr w:rsidR="00D20BD9" w:rsidRPr="00764FC5" w:rsidTr="00D20BD9">
        <w:trPr>
          <w:trHeight w:val="459"/>
        </w:trPr>
        <w:tc>
          <w:tcPr>
            <w:cnfStyle w:val="001000000000" w:firstRow="0" w:lastRow="0" w:firstColumn="1" w:lastColumn="0" w:oddVBand="0" w:evenVBand="0" w:oddHBand="0" w:evenHBand="0" w:firstRowFirstColumn="0" w:firstRowLastColumn="0" w:lastRowFirstColumn="0" w:lastRowLastColumn="0"/>
            <w:tcW w:w="1746" w:type="pct"/>
            <w:noWrap/>
          </w:tcPr>
          <w:p w:rsidR="00D20BD9" w:rsidRPr="00764FC5" w:rsidRDefault="00D20BD9" w:rsidP="005836D4">
            <w:pPr>
              <w:rPr>
                <w:rFonts w:eastAsia="Calibri"/>
                <w:sz w:val="18"/>
                <w:szCs w:val="18"/>
              </w:rPr>
            </w:pPr>
            <w:r>
              <w:rPr>
                <w:rFonts w:eastAsia="Calibri"/>
                <w:sz w:val="18"/>
                <w:szCs w:val="18"/>
              </w:rPr>
              <w:t>Median time to completion (business days)</w:t>
            </w:r>
          </w:p>
        </w:tc>
        <w:tc>
          <w:tcPr>
            <w:tcW w:w="651" w:type="pct"/>
          </w:tcPr>
          <w:p w:rsidR="00D20BD9" w:rsidRPr="00491308" w:rsidRDefault="00D20BD9" w:rsidP="0049130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n/a</w:t>
            </w:r>
          </w:p>
        </w:tc>
        <w:tc>
          <w:tcPr>
            <w:tcW w:w="651" w:type="pct"/>
            <w:noWrap/>
          </w:tcPr>
          <w:p w:rsidR="00D20BD9" w:rsidRPr="00491308" w:rsidRDefault="00D20BD9" w:rsidP="007C1434">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6</w:t>
            </w:r>
          </w:p>
        </w:tc>
        <w:tc>
          <w:tcPr>
            <w:tcW w:w="651" w:type="pct"/>
          </w:tcPr>
          <w:p w:rsidR="00D20BD9" w:rsidRPr="00491308" w:rsidRDefault="00D20BD9" w:rsidP="007C1434">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12</w:t>
            </w:r>
          </w:p>
        </w:tc>
        <w:tc>
          <w:tcPr>
            <w:tcW w:w="651" w:type="pct"/>
          </w:tcPr>
          <w:p w:rsidR="00D20BD9" w:rsidRPr="00491308" w:rsidRDefault="00D20BD9" w:rsidP="0049130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91308">
              <w:rPr>
                <w:rFonts w:cs="Arial"/>
                <w:b/>
                <w:bCs/>
                <w:sz w:val="18"/>
                <w:szCs w:val="18"/>
              </w:rPr>
              <w:t>16</w:t>
            </w:r>
          </w:p>
        </w:tc>
        <w:tc>
          <w:tcPr>
            <w:tcW w:w="651" w:type="pct"/>
          </w:tcPr>
          <w:p w:rsidR="00D20BD9" w:rsidRPr="00491308" w:rsidRDefault="00527D41" w:rsidP="007C1434">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491308">
              <w:rPr>
                <w:rFonts w:cs="Arial"/>
                <w:bCs/>
                <w:sz w:val="18"/>
                <w:szCs w:val="18"/>
              </w:rPr>
              <w:t>6</w:t>
            </w:r>
          </w:p>
        </w:tc>
      </w:tr>
      <w:tr w:rsidR="00D20BD9" w:rsidRPr="00764FC5" w:rsidTr="00D20BD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746" w:type="pct"/>
            <w:noWrap/>
          </w:tcPr>
          <w:p w:rsidR="00D20BD9" w:rsidRDefault="00D20BD9" w:rsidP="005836D4">
            <w:pPr>
              <w:rPr>
                <w:rFonts w:eastAsia="Calibri"/>
                <w:sz w:val="18"/>
                <w:szCs w:val="18"/>
              </w:rPr>
            </w:pPr>
            <w:r w:rsidRPr="00764FC5">
              <w:rPr>
                <w:rFonts w:eastAsia="Calibri"/>
                <w:sz w:val="18"/>
                <w:szCs w:val="18"/>
              </w:rPr>
              <w:t>Requests outstanding at end of period</w:t>
            </w:r>
          </w:p>
        </w:tc>
        <w:tc>
          <w:tcPr>
            <w:tcW w:w="651" w:type="pct"/>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463</w:t>
            </w:r>
          </w:p>
        </w:tc>
        <w:tc>
          <w:tcPr>
            <w:tcW w:w="651" w:type="pct"/>
            <w:noWrap/>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76</w:t>
            </w:r>
          </w:p>
        </w:tc>
        <w:tc>
          <w:tcPr>
            <w:tcW w:w="651" w:type="pct"/>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138</w:t>
            </w:r>
          </w:p>
        </w:tc>
        <w:tc>
          <w:tcPr>
            <w:tcW w:w="651" w:type="pct"/>
          </w:tcPr>
          <w:p w:rsidR="00D20BD9" w:rsidRPr="00491308" w:rsidRDefault="00D20BD9" w:rsidP="0049130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91308">
              <w:rPr>
                <w:rFonts w:cs="Arial"/>
                <w:b/>
                <w:bCs/>
                <w:sz w:val="18"/>
                <w:szCs w:val="18"/>
              </w:rPr>
              <w:t>20</w:t>
            </w:r>
          </w:p>
        </w:tc>
        <w:tc>
          <w:tcPr>
            <w:tcW w:w="651" w:type="pct"/>
          </w:tcPr>
          <w:p w:rsidR="00D20BD9" w:rsidRPr="00491308" w:rsidRDefault="00527D41" w:rsidP="0049130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91308">
              <w:rPr>
                <w:rFonts w:cs="Arial"/>
                <w:bCs/>
                <w:sz w:val="18"/>
                <w:szCs w:val="18"/>
              </w:rPr>
              <w:t>203</w:t>
            </w:r>
          </w:p>
        </w:tc>
      </w:tr>
    </w:tbl>
    <w:p w:rsidR="004940D8" w:rsidRPr="00255C1E" w:rsidRDefault="000B288A" w:rsidP="00D537C5">
      <w:pPr>
        <w:pStyle w:val="TableText"/>
        <w:rPr>
          <w:sz w:val="18"/>
          <w:szCs w:val="18"/>
        </w:rPr>
      </w:pPr>
      <w:r w:rsidRPr="00255C1E">
        <w:rPr>
          <w:sz w:val="18"/>
          <w:szCs w:val="18"/>
        </w:rPr>
        <w:t>Note:  The table identifies</w:t>
      </w:r>
      <w:r w:rsidR="00166823" w:rsidRPr="00255C1E">
        <w:rPr>
          <w:sz w:val="18"/>
          <w:szCs w:val="18"/>
        </w:rPr>
        <w:t xml:space="preserve"> the number of ‘options’ received by the PBO, noting </w:t>
      </w:r>
      <w:r w:rsidR="00D537C5" w:rsidRPr="00255C1E">
        <w:rPr>
          <w:sz w:val="18"/>
          <w:szCs w:val="18"/>
        </w:rPr>
        <w:t>that</w:t>
      </w:r>
      <w:r w:rsidR="00166823" w:rsidRPr="00255C1E">
        <w:rPr>
          <w:sz w:val="18"/>
          <w:szCs w:val="18"/>
        </w:rPr>
        <w:t xml:space="preserve"> a single request can contain multiple options.</w:t>
      </w:r>
    </w:p>
    <w:p w:rsidR="00F36BEB" w:rsidRDefault="00F36BEB"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1:</w:t>
      </w:r>
      <w:r w:rsidR="005D002A">
        <w:rPr>
          <w:rFonts w:asciiTheme="minorHAnsi" w:eastAsiaTheme="minorHAnsi" w:hAnsiTheme="minorHAnsi" w:cstheme="minorBidi"/>
          <w:color w:val="1F497D" w:themeColor="text2"/>
          <w:spacing w:val="-4"/>
          <w:sz w:val="20"/>
          <w:lang w:eastAsia="en-US"/>
        </w:rPr>
        <w:t xml:space="preserve"> PBO response t</w:t>
      </w:r>
      <w:r w:rsidRPr="005D002A">
        <w:rPr>
          <w:rFonts w:asciiTheme="minorHAnsi" w:eastAsiaTheme="minorHAnsi" w:hAnsiTheme="minorHAnsi" w:cstheme="minorBidi"/>
          <w:color w:val="1F497D" w:themeColor="text2"/>
          <w:spacing w:val="-4"/>
          <w:sz w:val="20"/>
          <w:lang w:eastAsia="en-US"/>
        </w:rPr>
        <w:t xml:space="preserve">imes for </w:t>
      </w:r>
      <w:r w:rsidR="005D002A">
        <w:rPr>
          <w:rFonts w:asciiTheme="minorHAnsi" w:eastAsiaTheme="minorHAnsi" w:hAnsiTheme="minorHAnsi" w:cstheme="minorBidi"/>
          <w:color w:val="1F497D" w:themeColor="text2"/>
          <w:spacing w:val="-4"/>
          <w:sz w:val="20"/>
          <w:lang w:eastAsia="en-US"/>
        </w:rPr>
        <w:t>c</w:t>
      </w:r>
      <w:r w:rsidRPr="005D002A">
        <w:rPr>
          <w:rFonts w:asciiTheme="minorHAnsi" w:eastAsiaTheme="minorHAnsi" w:hAnsiTheme="minorHAnsi" w:cstheme="minorBidi"/>
          <w:color w:val="1F497D" w:themeColor="text2"/>
          <w:spacing w:val="-4"/>
          <w:sz w:val="20"/>
          <w:lang w:eastAsia="en-US"/>
        </w:rPr>
        <w:t xml:space="preserve">ompleted </w:t>
      </w:r>
      <w:r w:rsidR="005D002A">
        <w:rPr>
          <w:rFonts w:asciiTheme="minorHAnsi" w:eastAsiaTheme="minorHAnsi" w:hAnsiTheme="minorHAnsi" w:cstheme="minorBidi"/>
          <w:color w:val="1F497D" w:themeColor="text2"/>
          <w:spacing w:val="-4"/>
          <w:sz w:val="20"/>
          <w:lang w:eastAsia="en-US"/>
        </w:rPr>
        <w:t>r</w:t>
      </w:r>
      <w:r w:rsidRPr="005D002A">
        <w:rPr>
          <w:rFonts w:asciiTheme="minorHAnsi" w:eastAsiaTheme="minorHAnsi" w:hAnsiTheme="minorHAnsi" w:cstheme="minorBidi"/>
          <w:color w:val="1F497D" w:themeColor="text2"/>
          <w:spacing w:val="-4"/>
          <w:sz w:val="20"/>
          <w:lang w:eastAsia="en-US"/>
        </w:rPr>
        <w:t xml:space="preserve">equests </w:t>
      </w:r>
      <w:r w:rsidR="001244FE">
        <w:rPr>
          <w:rFonts w:asciiTheme="minorHAnsi" w:eastAsiaTheme="minorHAnsi" w:hAnsiTheme="minorHAnsi" w:cstheme="minorBidi"/>
          <w:color w:val="1F497D" w:themeColor="text2"/>
          <w:spacing w:val="-4"/>
          <w:sz w:val="20"/>
          <w:lang w:eastAsia="en-US"/>
        </w:rPr>
        <w:t xml:space="preserve">in </w:t>
      </w:r>
      <w:r w:rsidR="00357D9F">
        <w:rPr>
          <w:rFonts w:asciiTheme="minorHAnsi" w:eastAsiaTheme="minorHAnsi" w:hAnsiTheme="minorHAnsi" w:cstheme="minorBidi"/>
          <w:color w:val="1F497D" w:themeColor="text2"/>
          <w:spacing w:val="-4"/>
          <w:sz w:val="20"/>
          <w:lang w:eastAsia="en-US"/>
        </w:rPr>
        <w:t>2016</w:t>
      </w:r>
      <w:r w:rsidR="00310C2F">
        <w:rPr>
          <w:rFonts w:asciiTheme="minorHAnsi" w:eastAsiaTheme="minorHAnsi" w:hAnsiTheme="minorHAnsi" w:cstheme="minorBidi"/>
          <w:color w:val="1F497D" w:themeColor="text2"/>
          <w:spacing w:val="-4"/>
          <w:sz w:val="20"/>
          <w:lang w:eastAsia="en-US"/>
        </w:rPr>
        <w:t>–</w:t>
      </w:r>
      <w:r w:rsidR="001244FE">
        <w:rPr>
          <w:rFonts w:asciiTheme="minorHAnsi" w:eastAsiaTheme="minorHAnsi" w:hAnsiTheme="minorHAnsi" w:cstheme="minorBidi"/>
          <w:color w:val="1F497D" w:themeColor="text2"/>
          <w:spacing w:val="-4"/>
          <w:sz w:val="20"/>
          <w:lang w:eastAsia="en-US"/>
        </w:rPr>
        <w:t>1</w:t>
      </w:r>
      <w:r w:rsidR="00357D9F">
        <w:rPr>
          <w:rFonts w:asciiTheme="minorHAnsi" w:eastAsiaTheme="minorHAnsi" w:hAnsiTheme="minorHAnsi" w:cstheme="minorBidi"/>
          <w:color w:val="1F497D" w:themeColor="text2"/>
          <w:spacing w:val="-4"/>
          <w:sz w:val="20"/>
          <w:lang w:eastAsia="en-US"/>
        </w:rPr>
        <w:t>7</w:t>
      </w:r>
      <w:r w:rsidR="001244FE">
        <w:rPr>
          <w:rFonts w:asciiTheme="minorHAnsi" w:eastAsiaTheme="minorHAnsi" w:hAnsiTheme="minorHAnsi" w:cstheme="minorBidi"/>
          <w:color w:val="1F497D" w:themeColor="text2"/>
          <w:spacing w:val="-4"/>
          <w:sz w:val="20"/>
          <w:lang w:eastAsia="en-US"/>
        </w:rPr>
        <w:t xml:space="preserve"> to </w:t>
      </w:r>
      <w:r w:rsidR="0056304F">
        <w:rPr>
          <w:rFonts w:asciiTheme="minorHAnsi" w:eastAsiaTheme="minorHAnsi" w:hAnsiTheme="minorHAnsi" w:cstheme="minorBidi"/>
          <w:color w:val="1F497D" w:themeColor="text2"/>
          <w:spacing w:val="-4"/>
          <w:sz w:val="20"/>
          <w:lang w:eastAsia="en-US"/>
        </w:rPr>
        <w:t>30 September 2016</w:t>
      </w:r>
    </w:p>
    <w:p w:rsidR="003553BD" w:rsidRDefault="00B168E8" w:rsidP="003553BD">
      <w:pPr>
        <w:pStyle w:val="PBOtext"/>
      </w:pPr>
      <w:r>
        <w:rPr>
          <w:noProof/>
        </w:rPr>
        <w:drawing>
          <wp:inline distT="0" distB="0" distL="0" distR="0" wp14:anchorId="4E037CD6" wp14:editId="7BCA2A5E">
            <wp:extent cx="5731510" cy="2665520"/>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665520"/>
                    </a:xfrm>
                    <a:prstGeom prst="rect">
                      <a:avLst/>
                    </a:prstGeom>
                  </pic:spPr>
                </pic:pic>
              </a:graphicData>
            </a:graphic>
          </wp:inline>
        </w:drawing>
      </w:r>
    </w:p>
    <w:p w:rsidR="003553BD" w:rsidRPr="003553BD" w:rsidRDefault="003553BD" w:rsidP="003553BD">
      <w:pPr>
        <w:pStyle w:val="PBOtext"/>
      </w:pPr>
      <w:r>
        <w:br w:type="page"/>
      </w:r>
    </w:p>
    <w:p w:rsidR="007432E3" w:rsidRDefault="007432E3" w:rsidP="007432E3">
      <w:pPr>
        <w:pStyle w:val="PBOheading1"/>
      </w:pPr>
      <w:r w:rsidRPr="00344B8D">
        <w:lastRenderedPageBreak/>
        <w:t xml:space="preserve">Requests by </w:t>
      </w:r>
      <w:r w:rsidRPr="00BB0ADB">
        <w:t>the</w:t>
      </w:r>
      <w:r>
        <w:t xml:space="preserve"> </w:t>
      </w:r>
      <w:r w:rsidRPr="00344B8D">
        <w:t xml:space="preserve">PBO for information from </w:t>
      </w:r>
      <w:r>
        <w:t>agencies</w:t>
      </w:r>
    </w:p>
    <w:p w:rsidR="007432E3" w:rsidRDefault="007432E3" w:rsidP="007432E3">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Table</w:t>
      </w:r>
      <w:r>
        <w:rPr>
          <w:rFonts w:asciiTheme="minorHAnsi" w:eastAsiaTheme="minorHAnsi" w:hAnsiTheme="minorHAnsi" w:cstheme="minorBidi"/>
          <w:color w:val="1F497D" w:themeColor="text2"/>
          <w:spacing w:val="-4"/>
          <w:sz w:val="20"/>
          <w:lang w:eastAsia="en-US"/>
        </w:rPr>
        <w:t xml:space="preserve"> 2</w:t>
      </w:r>
      <w:r w:rsidRPr="005D002A">
        <w:rPr>
          <w:rFonts w:asciiTheme="minorHAnsi" w:eastAsiaTheme="minorHAnsi" w:hAnsiTheme="minorHAnsi" w:cstheme="minorBidi"/>
          <w:color w:val="1F497D" w:themeColor="text2"/>
          <w:spacing w:val="-4"/>
          <w:sz w:val="20"/>
          <w:lang w:eastAsia="en-US"/>
        </w:rPr>
        <w:t>: Information requests to agencies</w:t>
      </w:r>
      <w:r w:rsidR="006F770F">
        <w:rPr>
          <w:rFonts w:asciiTheme="minorHAnsi" w:eastAsiaTheme="minorHAnsi" w:hAnsiTheme="minorHAnsi" w:cstheme="minorBidi"/>
          <w:color w:val="1F497D" w:themeColor="text2"/>
          <w:spacing w:val="-4"/>
          <w:sz w:val="20"/>
          <w:lang w:eastAsia="en-US"/>
        </w:rPr>
        <w:t xml:space="preserve"> </w:t>
      </w:r>
      <w:r>
        <w:rPr>
          <w:rFonts w:asciiTheme="minorHAnsi" w:eastAsiaTheme="minorHAnsi" w:hAnsiTheme="minorHAnsi" w:cstheme="minorBidi"/>
          <w:color w:val="1F497D" w:themeColor="text2"/>
          <w:spacing w:val="-4"/>
          <w:sz w:val="20"/>
          <w:lang w:eastAsia="en-US"/>
        </w:rPr>
        <w:t xml:space="preserve">to </w:t>
      </w:r>
      <w:r w:rsidR="0056304F">
        <w:rPr>
          <w:rFonts w:asciiTheme="minorHAnsi" w:eastAsiaTheme="minorHAnsi" w:hAnsiTheme="minorHAnsi" w:cstheme="minorBidi"/>
          <w:color w:val="1F497D" w:themeColor="text2"/>
          <w:spacing w:val="-4"/>
          <w:sz w:val="20"/>
          <w:lang w:eastAsia="en-US"/>
        </w:rPr>
        <w:t>3</w:t>
      </w:r>
      <w:r w:rsidR="00F2351D">
        <w:rPr>
          <w:rFonts w:asciiTheme="minorHAnsi" w:eastAsiaTheme="minorHAnsi" w:hAnsiTheme="minorHAnsi" w:cstheme="minorBidi"/>
          <w:color w:val="1F497D" w:themeColor="text2"/>
          <w:spacing w:val="-4"/>
          <w:sz w:val="20"/>
          <w:lang w:eastAsia="en-US"/>
        </w:rPr>
        <w:t>0 September</w:t>
      </w:r>
      <w:r w:rsidR="00BB03B4">
        <w:rPr>
          <w:rFonts w:asciiTheme="minorHAnsi" w:eastAsiaTheme="minorHAnsi" w:hAnsiTheme="minorHAnsi" w:cstheme="minorBidi"/>
          <w:color w:val="1F497D" w:themeColor="text2"/>
          <w:spacing w:val="-4"/>
          <w:sz w:val="20"/>
          <w:lang w:eastAsia="en-US"/>
        </w:rPr>
        <w:t xml:space="preserve"> 2016</w:t>
      </w:r>
    </w:p>
    <w:tbl>
      <w:tblPr>
        <w:tblStyle w:val="TableGrid21"/>
        <w:tblW w:w="4633" w:type="pct"/>
        <w:tblLayout w:type="fixed"/>
        <w:tblLook w:val="04A0" w:firstRow="1" w:lastRow="0" w:firstColumn="1" w:lastColumn="0" w:noHBand="0" w:noVBand="1"/>
      </w:tblPr>
      <w:tblGrid>
        <w:gridCol w:w="2696"/>
        <w:gridCol w:w="1133"/>
        <w:gridCol w:w="1134"/>
        <w:gridCol w:w="1132"/>
        <w:gridCol w:w="1134"/>
        <w:gridCol w:w="1134"/>
      </w:tblGrid>
      <w:tr w:rsidR="00D20BD9" w:rsidRPr="001244FE" w:rsidTr="00D20B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11" w:type="pct"/>
            <w:noWrap/>
            <w:hideMark/>
          </w:tcPr>
          <w:p w:rsidR="00D20BD9" w:rsidRPr="001244FE" w:rsidRDefault="00D20BD9" w:rsidP="0084567E">
            <w:pPr>
              <w:keepNext/>
              <w:keepLines/>
              <w:rPr>
                <w:rFonts w:asciiTheme="minorHAnsi" w:hAnsiTheme="minorHAnsi"/>
                <w:b/>
                <w:sz w:val="18"/>
                <w:szCs w:val="18"/>
              </w:rPr>
            </w:pPr>
          </w:p>
        </w:tc>
        <w:tc>
          <w:tcPr>
            <w:tcW w:w="677" w:type="pct"/>
            <w:noWrap/>
            <w:hideMark/>
          </w:tcPr>
          <w:p w:rsidR="00D20BD9" w:rsidRDefault="00D20BD9"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D20BD9" w:rsidRPr="001244FE" w:rsidRDefault="00D20BD9"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c>
          <w:tcPr>
            <w:tcW w:w="678" w:type="pct"/>
            <w:noWrap/>
            <w:hideMark/>
          </w:tcPr>
          <w:p w:rsidR="00D20BD9" w:rsidRDefault="00D20BD9"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D20BD9" w:rsidRPr="001244FE" w:rsidRDefault="00D20BD9"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c>
          <w:tcPr>
            <w:tcW w:w="677" w:type="pct"/>
          </w:tcPr>
          <w:p w:rsidR="00D20BD9" w:rsidRDefault="00D20BD9"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2014</w:t>
            </w:r>
            <w:r w:rsidRPr="001244FE">
              <w:rPr>
                <w:rFonts w:asciiTheme="minorHAnsi" w:hAnsiTheme="minorHAnsi"/>
                <w:b/>
                <w:sz w:val="18"/>
                <w:szCs w:val="18"/>
              </w:rPr>
              <w:t>–</w:t>
            </w:r>
            <w:r>
              <w:rPr>
                <w:rFonts w:asciiTheme="minorHAnsi" w:hAnsiTheme="minorHAnsi"/>
                <w:b/>
                <w:sz w:val="18"/>
                <w:szCs w:val="18"/>
              </w:rPr>
              <w:t>15</w:t>
            </w:r>
          </w:p>
          <w:p w:rsidR="00D20BD9" w:rsidRPr="00480195" w:rsidRDefault="00D20BD9"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b/>
                <w:sz w:val="18"/>
                <w:szCs w:val="18"/>
              </w:rPr>
              <w:t>Total</w:t>
            </w:r>
          </w:p>
        </w:tc>
        <w:tc>
          <w:tcPr>
            <w:tcW w:w="678" w:type="pct"/>
          </w:tcPr>
          <w:p w:rsidR="00D20BD9" w:rsidRDefault="00D20BD9"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w:t>
            </w:r>
            <w:r>
              <w:rPr>
                <w:rFonts w:asciiTheme="minorHAnsi" w:hAnsiTheme="minorHAnsi"/>
                <w:b/>
                <w:sz w:val="18"/>
                <w:szCs w:val="18"/>
              </w:rPr>
              <w:t>5</w:t>
            </w:r>
            <w:r w:rsidRPr="001244FE">
              <w:rPr>
                <w:rFonts w:asciiTheme="minorHAnsi" w:hAnsiTheme="minorHAnsi"/>
                <w:b/>
                <w:sz w:val="18"/>
                <w:szCs w:val="18"/>
              </w:rPr>
              <w:t>–1</w:t>
            </w:r>
            <w:r>
              <w:rPr>
                <w:rFonts w:asciiTheme="minorHAnsi" w:hAnsiTheme="minorHAnsi"/>
                <w:b/>
                <w:sz w:val="18"/>
                <w:szCs w:val="18"/>
              </w:rPr>
              <w:t>6</w:t>
            </w:r>
          </w:p>
          <w:p w:rsidR="00D20BD9" w:rsidRPr="001244FE" w:rsidRDefault="00D20BD9" w:rsidP="0084567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c>
          <w:tcPr>
            <w:tcW w:w="678" w:type="pct"/>
          </w:tcPr>
          <w:p w:rsidR="00D20BD9" w:rsidRDefault="00D20BD9" w:rsidP="00D20B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E1EE2">
              <w:rPr>
                <w:rFonts w:asciiTheme="minorHAnsi" w:hAnsiTheme="minorHAnsi"/>
                <w:sz w:val="18"/>
                <w:szCs w:val="18"/>
              </w:rPr>
              <w:t>201</w:t>
            </w:r>
            <w:r>
              <w:rPr>
                <w:rFonts w:asciiTheme="minorHAnsi" w:hAnsiTheme="minorHAnsi"/>
                <w:sz w:val="18"/>
                <w:szCs w:val="18"/>
              </w:rPr>
              <w:t>6–</w:t>
            </w:r>
            <w:r w:rsidRPr="001E1EE2">
              <w:rPr>
                <w:rFonts w:asciiTheme="minorHAnsi" w:hAnsiTheme="minorHAnsi"/>
                <w:sz w:val="18"/>
                <w:szCs w:val="18"/>
              </w:rPr>
              <w:t>1</w:t>
            </w:r>
            <w:r>
              <w:rPr>
                <w:rFonts w:asciiTheme="minorHAnsi" w:hAnsiTheme="minorHAnsi"/>
                <w:sz w:val="18"/>
                <w:szCs w:val="18"/>
              </w:rPr>
              <w:t>7</w:t>
            </w:r>
          </w:p>
          <w:p w:rsidR="00D20BD9" w:rsidRPr="001244FE" w:rsidRDefault="00D20BD9" w:rsidP="00D20B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sz w:val="18"/>
                <w:szCs w:val="18"/>
              </w:rPr>
              <w:t>Q1</w:t>
            </w:r>
          </w:p>
        </w:tc>
      </w:tr>
      <w:tr w:rsidR="00D20BD9" w:rsidRPr="00B6426B" w:rsidTr="00D20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pct"/>
            <w:noWrap/>
            <w:hideMark/>
          </w:tcPr>
          <w:p w:rsidR="00D20BD9" w:rsidRPr="001244FE" w:rsidRDefault="00D20BD9" w:rsidP="0084567E">
            <w:pPr>
              <w:rPr>
                <w:rFonts w:asciiTheme="minorHAnsi" w:hAnsiTheme="minorHAnsi"/>
                <w:sz w:val="18"/>
                <w:szCs w:val="18"/>
              </w:rPr>
            </w:pPr>
            <w:r>
              <w:rPr>
                <w:rFonts w:eastAsia="Calibri"/>
                <w:sz w:val="18"/>
                <w:szCs w:val="18"/>
              </w:rPr>
              <w:t xml:space="preserve">Requests outstanding at start of </w:t>
            </w:r>
            <w:r w:rsidRPr="00FF6FE9">
              <w:rPr>
                <w:rFonts w:eastAsia="Calibri"/>
                <w:sz w:val="18"/>
                <w:szCs w:val="18"/>
              </w:rPr>
              <w:t>period</w:t>
            </w:r>
          </w:p>
        </w:tc>
        <w:tc>
          <w:tcPr>
            <w:tcW w:w="677" w:type="pct"/>
            <w:noWrap/>
            <w:hideMark/>
          </w:tcPr>
          <w:p w:rsidR="00D20BD9" w:rsidRPr="00B6426B"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b/>
                <w:bCs/>
                <w:color w:val="000000"/>
                <w:sz w:val="18"/>
                <w:szCs w:val="18"/>
              </w:rPr>
              <w:t>–</w:t>
            </w:r>
          </w:p>
        </w:tc>
        <w:tc>
          <w:tcPr>
            <w:tcW w:w="678" w:type="pct"/>
            <w:noWrap/>
            <w:hideMark/>
          </w:tcPr>
          <w:p w:rsidR="00D20BD9" w:rsidRPr="00B6426B"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2</w:t>
            </w:r>
            <w:r>
              <w:rPr>
                <w:b/>
                <w:bCs/>
                <w:color w:val="000000"/>
                <w:sz w:val="18"/>
                <w:szCs w:val="18"/>
              </w:rPr>
              <w:t>8</w:t>
            </w:r>
          </w:p>
        </w:tc>
        <w:tc>
          <w:tcPr>
            <w:tcW w:w="677" w:type="pct"/>
          </w:tcPr>
          <w:p w:rsidR="00D20BD9" w:rsidRPr="00480195"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16</w:t>
            </w:r>
          </w:p>
        </w:tc>
        <w:tc>
          <w:tcPr>
            <w:tcW w:w="678" w:type="pct"/>
          </w:tcPr>
          <w:p w:rsidR="00D20BD9" w:rsidRPr="00353D66" w:rsidRDefault="00D20B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353D66">
              <w:rPr>
                <w:b/>
                <w:bCs/>
                <w:color w:val="000000"/>
                <w:sz w:val="18"/>
                <w:szCs w:val="18"/>
              </w:rPr>
              <w:t>3</w:t>
            </w:r>
          </w:p>
        </w:tc>
        <w:tc>
          <w:tcPr>
            <w:tcW w:w="678" w:type="pct"/>
          </w:tcPr>
          <w:p w:rsidR="00D20BD9" w:rsidRPr="007C1A69" w:rsidRDefault="00357D9F">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7C1A69">
              <w:rPr>
                <w:bCs/>
                <w:color w:val="000000"/>
                <w:sz w:val="18"/>
                <w:szCs w:val="18"/>
              </w:rPr>
              <w:t>1</w:t>
            </w:r>
          </w:p>
        </w:tc>
      </w:tr>
      <w:tr w:rsidR="00D20BD9" w:rsidRPr="00B6426B" w:rsidTr="00D20BD9">
        <w:tc>
          <w:tcPr>
            <w:cnfStyle w:val="001000000000" w:firstRow="0" w:lastRow="0" w:firstColumn="1" w:lastColumn="0" w:oddVBand="0" w:evenVBand="0" w:oddHBand="0" w:evenHBand="0" w:firstRowFirstColumn="0" w:firstRowLastColumn="0" w:lastRowFirstColumn="0" w:lastRowLastColumn="0"/>
            <w:tcW w:w="1611" w:type="pct"/>
            <w:noWrap/>
            <w:hideMark/>
          </w:tcPr>
          <w:p w:rsidR="00D20BD9" w:rsidRPr="001244FE" w:rsidRDefault="00D20BD9" w:rsidP="0084567E">
            <w:pPr>
              <w:rPr>
                <w:rFonts w:asciiTheme="minorHAnsi" w:hAnsiTheme="minorHAnsi"/>
                <w:sz w:val="18"/>
                <w:szCs w:val="18"/>
              </w:rPr>
            </w:pPr>
            <w:r w:rsidRPr="001244FE">
              <w:rPr>
                <w:rFonts w:asciiTheme="minorHAnsi" w:hAnsiTheme="minorHAnsi"/>
                <w:sz w:val="18"/>
                <w:szCs w:val="18"/>
              </w:rPr>
              <w:t>Requests sent in period</w:t>
            </w:r>
          </w:p>
        </w:tc>
        <w:tc>
          <w:tcPr>
            <w:tcW w:w="677" w:type="pct"/>
            <w:noWrap/>
            <w:hideMark/>
          </w:tcPr>
          <w:p w:rsidR="00D20BD9" w:rsidRPr="00B6426B" w:rsidRDefault="00D20BD9"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360</w:t>
            </w:r>
          </w:p>
        </w:tc>
        <w:tc>
          <w:tcPr>
            <w:tcW w:w="678" w:type="pct"/>
            <w:noWrap/>
            <w:hideMark/>
          </w:tcPr>
          <w:p w:rsidR="00D20BD9" w:rsidRPr="00B6426B" w:rsidRDefault="00D20BD9"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388</w:t>
            </w:r>
          </w:p>
        </w:tc>
        <w:tc>
          <w:tcPr>
            <w:tcW w:w="677" w:type="pct"/>
          </w:tcPr>
          <w:p w:rsidR="00D20BD9" w:rsidRPr="00480195" w:rsidRDefault="00D20BD9"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203</w:t>
            </w:r>
          </w:p>
        </w:tc>
        <w:tc>
          <w:tcPr>
            <w:tcW w:w="678" w:type="pct"/>
          </w:tcPr>
          <w:p w:rsidR="00D20BD9" w:rsidRPr="00353D66" w:rsidRDefault="00D20B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b/>
                <w:bCs/>
                <w:color w:val="000000"/>
                <w:sz w:val="18"/>
                <w:szCs w:val="18"/>
              </w:rPr>
              <w:t>743</w:t>
            </w:r>
          </w:p>
        </w:tc>
        <w:tc>
          <w:tcPr>
            <w:tcW w:w="678" w:type="pct"/>
          </w:tcPr>
          <w:p w:rsidR="00D20BD9" w:rsidRPr="007C1A69" w:rsidRDefault="00DA19EE">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3</w:t>
            </w:r>
            <w:r w:rsidR="00E12A06">
              <w:rPr>
                <w:bCs/>
                <w:color w:val="000000"/>
                <w:sz w:val="18"/>
                <w:szCs w:val="18"/>
              </w:rPr>
              <w:t>6</w:t>
            </w:r>
          </w:p>
        </w:tc>
      </w:tr>
      <w:tr w:rsidR="00D20BD9" w:rsidRPr="00B6426B" w:rsidTr="00D20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pct"/>
            <w:noWrap/>
            <w:hideMark/>
          </w:tcPr>
          <w:p w:rsidR="00D20BD9" w:rsidRPr="001244FE" w:rsidRDefault="00D20BD9" w:rsidP="0084567E">
            <w:pPr>
              <w:rPr>
                <w:rFonts w:asciiTheme="minorHAnsi" w:hAnsiTheme="minorHAnsi"/>
                <w:sz w:val="18"/>
                <w:szCs w:val="18"/>
              </w:rPr>
            </w:pPr>
            <w:r w:rsidRPr="001244FE">
              <w:rPr>
                <w:rFonts w:asciiTheme="minorHAnsi" w:hAnsiTheme="minorHAnsi"/>
                <w:sz w:val="18"/>
                <w:szCs w:val="18"/>
              </w:rPr>
              <w:t>Requests received in period</w:t>
            </w:r>
          </w:p>
        </w:tc>
        <w:tc>
          <w:tcPr>
            <w:tcW w:w="677" w:type="pct"/>
            <w:noWrap/>
            <w:hideMark/>
          </w:tcPr>
          <w:p w:rsidR="00D20BD9" w:rsidRPr="00B6426B"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33</w:t>
            </w:r>
            <w:r>
              <w:rPr>
                <w:b/>
                <w:bCs/>
                <w:color w:val="000000"/>
                <w:sz w:val="18"/>
                <w:szCs w:val="18"/>
              </w:rPr>
              <w:t>2</w:t>
            </w:r>
          </w:p>
        </w:tc>
        <w:tc>
          <w:tcPr>
            <w:tcW w:w="678" w:type="pct"/>
            <w:noWrap/>
            <w:hideMark/>
          </w:tcPr>
          <w:p w:rsidR="00D20BD9" w:rsidRPr="00B6426B"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40</w:t>
            </w:r>
            <w:r>
              <w:rPr>
                <w:b/>
                <w:bCs/>
                <w:color w:val="000000"/>
                <w:sz w:val="18"/>
                <w:szCs w:val="18"/>
              </w:rPr>
              <w:t>0</w:t>
            </w:r>
          </w:p>
        </w:tc>
        <w:tc>
          <w:tcPr>
            <w:tcW w:w="677" w:type="pct"/>
          </w:tcPr>
          <w:p w:rsidR="00D20BD9" w:rsidRPr="00480195"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216</w:t>
            </w:r>
          </w:p>
        </w:tc>
        <w:tc>
          <w:tcPr>
            <w:tcW w:w="678" w:type="pct"/>
          </w:tcPr>
          <w:p w:rsidR="00D20BD9" w:rsidRPr="00353D66" w:rsidRDefault="00D20B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b/>
                <w:bCs/>
                <w:color w:val="000000"/>
                <w:sz w:val="18"/>
                <w:szCs w:val="18"/>
              </w:rPr>
              <w:t>745</w:t>
            </w:r>
          </w:p>
        </w:tc>
        <w:tc>
          <w:tcPr>
            <w:tcW w:w="678" w:type="pct"/>
          </w:tcPr>
          <w:p w:rsidR="00D20BD9" w:rsidRPr="007C1A69" w:rsidRDefault="00DA19EE">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30</w:t>
            </w:r>
          </w:p>
        </w:tc>
      </w:tr>
      <w:tr w:rsidR="00D20BD9" w:rsidRPr="00B6426B" w:rsidTr="00D20BD9">
        <w:tc>
          <w:tcPr>
            <w:cnfStyle w:val="001000000000" w:firstRow="0" w:lastRow="0" w:firstColumn="1" w:lastColumn="0" w:oddVBand="0" w:evenVBand="0" w:oddHBand="0" w:evenHBand="0" w:firstRowFirstColumn="0" w:firstRowLastColumn="0" w:lastRowFirstColumn="0" w:lastRowLastColumn="0"/>
            <w:tcW w:w="1611" w:type="pct"/>
            <w:noWrap/>
            <w:hideMark/>
          </w:tcPr>
          <w:p w:rsidR="00D20BD9" w:rsidRPr="001244FE" w:rsidRDefault="00D20BD9" w:rsidP="0084567E">
            <w:pPr>
              <w:ind w:left="426"/>
              <w:rPr>
                <w:rFonts w:asciiTheme="minorHAnsi" w:hAnsiTheme="minorHAnsi"/>
                <w:i/>
                <w:sz w:val="18"/>
                <w:szCs w:val="18"/>
              </w:rPr>
            </w:pPr>
            <w:r w:rsidRPr="001244FE">
              <w:rPr>
                <w:rFonts w:asciiTheme="minorHAnsi" w:hAnsiTheme="minorHAnsi"/>
                <w:i/>
                <w:sz w:val="18"/>
                <w:szCs w:val="18"/>
              </w:rPr>
              <w:t>Requests received by due date</w:t>
            </w:r>
          </w:p>
        </w:tc>
        <w:tc>
          <w:tcPr>
            <w:tcW w:w="677" w:type="pct"/>
            <w:noWrap/>
            <w:hideMark/>
          </w:tcPr>
          <w:p w:rsidR="00D20BD9" w:rsidRPr="00B6426B" w:rsidRDefault="00D20BD9"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B6426B">
              <w:rPr>
                <w:b/>
                <w:bCs/>
                <w:i/>
                <w:iCs/>
                <w:color w:val="000000"/>
                <w:sz w:val="18"/>
                <w:szCs w:val="18"/>
              </w:rPr>
              <w:t>149</w:t>
            </w:r>
          </w:p>
        </w:tc>
        <w:tc>
          <w:tcPr>
            <w:tcW w:w="678" w:type="pct"/>
            <w:noWrap/>
            <w:hideMark/>
          </w:tcPr>
          <w:p w:rsidR="00D20BD9" w:rsidRPr="00B6426B" w:rsidRDefault="00D20BD9"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B6426B">
              <w:rPr>
                <w:b/>
                <w:bCs/>
                <w:i/>
                <w:iCs/>
                <w:color w:val="000000"/>
                <w:sz w:val="18"/>
                <w:szCs w:val="18"/>
              </w:rPr>
              <w:t>209</w:t>
            </w:r>
          </w:p>
        </w:tc>
        <w:tc>
          <w:tcPr>
            <w:tcW w:w="677" w:type="pct"/>
          </w:tcPr>
          <w:p w:rsidR="00D20BD9" w:rsidRPr="00480195" w:rsidRDefault="00D20BD9"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480195">
              <w:rPr>
                <w:rFonts w:asciiTheme="minorHAnsi" w:hAnsiTheme="minorHAnsi" w:cs="Arial"/>
                <w:b/>
                <w:bCs/>
                <w:i/>
                <w:sz w:val="18"/>
                <w:szCs w:val="18"/>
              </w:rPr>
              <w:t>147</w:t>
            </w:r>
          </w:p>
        </w:tc>
        <w:tc>
          <w:tcPr>
            <w:tcW w:w="678" w:type="pct"/>
          </w:tcPr>
          <w:p w:rsidR="00D20BD9" w:rsidRPr="002A569E" w:rsidRDefault="00D20B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sidRPr="002A569E">
              <w:rPr>
                <w:b/>
                <w:bCs/>
                <w:i/>
                <w:color w:val="000000"/>
                <w:sz w:val="18"/>
                <w:szCs w:val="18"/>
              </w:rPr>
              <w:t>695</w:t>
            </w:r>
          </w:p>
        </w:tc>
        <w:tc>
          <w:tcPr>
            <w:tcW w:w="678" w:type="pct"/>
          </w:tcPr>
          <w:p w:rsidR="00D20BD9" w:rsidRPr="002A569E" w:rsidRDefault="00DA19EE">
            <w:pPr>
              <w:jc w:val="center"/>
              <w:cnfStyle w:val="000000000000" w:firstRow="0" w:lastRow="0" w:firstColumn="0" w:lastColumn="0" w:oddVBand="0" w:evenVBand="0" w:oddHBand="0" w:evenHBand="0" w:firstRowFirstColumn="0" w:firstRowLastColumn="0" w:lastRowFirstColumn="0" w:lastRowLastColumn="0"/>
              <w:rPr>
                <w:bCs/>
                <w:i/>
                <w:color w:val="000000"/>
                <w:sz w:val="18"/>
                <w:szCs w:val="18"/>
              </w:rPr>
            </w:pPr>
            <w:r w:rsidRPr="002A569E">
              <w:rPr>
                <w:bCs/>
                <w:i/>
                <w:color w:val="000000"/>
                <w:sz w:val="18"/>
                <w:szCs w:val="18"/>
              </w:rPr>
              <w:t>29</w:t>
            </w:r>
          </w:p>
        </w:tc>
      </w:tr>
      <w:tr w:rsidR="00D20BD9" w:rsidRPr="00B6426B" w:rsidTr="00D20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pct"/>
            <w:noWrap/>
            <w:hideMark/>
          </w:tcPr>
          <w:p w:rsidR="00D20BD9" w:rsidRPr="001244FE" w:rsidRDefault="00D20BD9" w:rsidP="0084567E">
            <w:pPr>
              <w:ind w:left="426"/>
              <w:rPr>
                <w:rFonts w:asciiTheme="minorHAnsi" w:hAnsiTheme="minorHAnsi"/>
                <w:i/>
                <w:sz w:val="18"/>
                <w:szCs w:val="18"/>
              </w:rPr>
            </w:pPr>
            <w:r w:rsidRPr="001244FE">
              <w:rPr>
                <w:rFonts w:asciiTheme="minorHAnsi" w:hAnsiTheme="minorHAnsi"/>
                <w:i/>
                <w:sz w:val="18"/>
                <w:szCs w:val="18"/>
              </w:rPr>
              <w:t>Requests received after due date</w:t>
            </w:r>
          </w:p>
        </w:tc>
        <w:tc>
          <w:tcPr>
            <w:tcW w:w="677" w:type="pct"/>
            <w:noWrap/>
            <w:hideMark/>
          </w:tcPr>
          <w:p w:rsidR="00D20BD9" w:rsidRPr="00B6426B"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B6426B">
              <w:rPr>
                <w:b/>
                <w:bCs/>
                <w:i/>
                <w:iCs/>
                <w:color w:val="000000"/>
                <w:sz w:val="18"/>
                <w:szCs w:val="18"/>
              </w:rPr>
              <w:t>18</w:t>
            </w:r>
            <w:r>
              <w:rPr>
                <w:b/>
                <w:bCs/>
                <w:i/>
                <w:iCs/>
                <w:color w:val="000000"/>
                <w:sz w:val="18"/>
                <w:szCs w:val="18"/>
              </w:rPr>
              <w:t>3</w:t>
            </w:r>
          </w:p>
        </w:tc>
        <w:tc>
          <w:tcPr>
            <w:tcW w:w="678" w:type="pct"/>
            <w:noWrap/>
            <w:hideMark/>
          </w:tcPr>
          <w:p w:rsidR="00D20BD9" w:rsidRPr="00B6426B"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B6426B">
              <w:rPr>
                <w:b/>
                <w:bCs/>
                <w:i/>
                <w:iCs/>
                <w:color w:val="000000"/>
                <w:sz w:val="18"/>
                <w:szCs w:val="18"/>
              </w:rPr>
              <w:t>19</w:t>
            </w:r>
            <w:r>
              <w:rPr>
                <w:b/>
                <w:bCs/>
                <w:i/>
                <w:iCs/>
                <w:color w:val="000000"/>
                <w:sz w:val="18"/>
                <w:szCs w:val="18"/>
              </w:rPr>
              <w:t>1</w:t>
            </w:r>
          </w:p>
        </w:tc>
        <w:tc>
          <w:tcPr>
            <w:tcW w:w="677" w:type="pct"/>
          </w:tcPr>
          <w:p w:rsidR="00D20BD9" w:rsidRPr="00480195"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sidRPr="00480195">
              <w:rPr>
                <w:rFonts w:asciiTheme="minorHAnsi" w:hAnsiTheme="minorHAnsi" w:cs="Arial"/>
                <w:b/>
                <w:bCs/>
                <w:i/>
                <w:sz w:val="18"/>
                <w:szCs w:val="18"/>
              </w:rPr>
              <w:t>69</w:t>
            </w:r>
          </w:p>
        </w:tc>
        <w:tc>
          <w:tcPr>
            <w:tcW w:w="678" w:type="pct"/>
          </w:tcPr>
          <w:p w:rsidR="00D20BD9" w:rsidRPr="002A569E" w:rsidRDefault="00D20BD9">
            <w:pPr>
              <w:jc w:val="center"/>
              <w:cnfStyle w:val="000000100000" w:firstRow="0" w:lastRow="0" w:firstColumn="0" w:lastColumn="0" w:oddVBand="0" w:evenVBand="0" w:oddHBand="1" w:evenHBand="0" w:firstRowFirstColumn="0" w:firstRowLastColumn="0" w:lastRowFirstColumn="0" w:lastRowLastColumn="0"/>
              <w:rPr>
                <w:b/>
                <w:bCs/>
                <w:i/>
                <w:color w:val="000000"/>
                <w:sz w:val="18"/>
                <w:szCs w:val="18"/>
              </w:rPr>
            </w:pPr>
            <w:r w:rsidRPr="002A569E">
              <w:rPr>
                <w:b/>
                <w:bCs/>
                <w:i/>
                <w:color w:val="000000"/>
                <w:sz w:val="18"/>
                <w:szCs w:val="18"/>
              </w:rPr>
              <w:t>50</w:t>
            </w:r>
          </w:p>
        </w:tc>
        <w:tc>
          <w:tcPr>
            <w:tcW w:w="678" w:type="pct"/>
          </w:tcPr>
          <w:p w:rsidR="00D20BD9" w:rsidRPr="002A569E" w:rsidRDefault="00DA19EE">
            <w:pPr>
              <w:jc w:val="center"/>
              <w:cnfStyle w:val="000000100000" w:firstRow="0" w:lastRow="0" w:firstColumn="0" w:lastColumn="0" w:oddVBand="0" w:evenVBand="0" w:oddHBand="1" w:evenHBand="0" w:firstRowFirstColumn="0" w:firstRowLastColumn="0" w:lastRowFirstColumn="0" w:lastRowLastColumn="0"/>
              <w:rPr>
                <w:bCs/>
                <w:i/>
                <w:color w:val="000000"/>
                <w:sz w:val="18"/>
                <w:szCs w:val="18"/>
              </w:rPr>
            </w:pPr>
            <w:r w:rsidRPr="002A569E">
              <w:rPr>
                <w:bCs/>
                <w:i/>
                <w:color w:val="000000"/>
                <w:sz w:val="18"/>
                <w:szCs w:val="18"/>
              </w:rPr>
              <w:t>1</w:t>
            </w:r>
          </w:p>
        </w:tc>
      </w:tr>
      <w:tr w:rsidR="00D20BD9" w:rsidRPr="00B6426B" w:rsidTr="00D20BD9">
        <w:tc>
          <w:tcPr>
            <w:cnfStyle w:val="001000000000" w:firstRow="0" w:lastRow="0" w:firstColumn="1" w:lastColumn="0" w:oddVBand="0" w:evenVBand="0" w:oddHBand="0" w:evenHBand="0" w:firstRowFirstColumn="0" w:firstRowLastColumn="0" w:lastRowFirstColumn="0" w:lastRowLastColumn="0"/>
            <w:tcW w:w="1611" w:type="pct"/>
            <w:noWrap/>
          </w:tcPr>
          <w:p w:rsidR="00D20BD9" w:rsidRPr="001244FE" w:rsidRDefault="00D20BD9" w:rsidP="00030032">
            <w:pPr>
              <w:ind w:left="142"/>
              <w:rPr>
                <w:rFonts w:asciiTheme="minorHAnsi" w:hAnsiTheme="minorHAnsi"/>
                <w:sz w:val="18"/>
                <w:szCs w:val="18"/>
              </w:rPr>
            </w:pPr>
            <w:r>
              <w:rPr>
                <w:rFonts w:asciiTheme="minorHAnsi" w:hAnsiTheme="minorHAnsi"/>
                <w:sz w:val="18"/>
                <w:szCs w:val="18"/>
              </w:rPr>
              <w:t>Percentage late</w:t>
            </w:r>
          </w:p>
        </w:tc>
        <w:tc>
          <w:tcPr>
            <w:tcW w:w="677" w:type="pct"/>
            <w:noWrap/>
          </w:tcPr>
          <w:p w:rsidR="00D20BD9" w:rsidRDefault="00D20BD9" w:rsidP="0084567E">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55.1</w:t>
            </w:r>
          </w:p>
        </w:tc>
        <w:tc>
          <w:tcPr>
            <w:tcW w:w="678" w:type="pct"/>
            <w:noWrap/>
          </w:tcPr>
          <w:p w:rsidR="00D20BD9" w:rsidRPr="00B6426B" w:rsidRDefault="00D20BD9" w:rsidP="0084567E">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47.8</w:t>
            </w:r>
          </w:p>
        </w:tc>
        <w:tc>
          <w:tcPr>
            <w:tcW w:w="677" w:type="pct"/>
          </w:tcPr>
          <w:p w:rsidR="00D20BD9" w:rsidRPr="00480195" w:rsidRDefault="00D20BD9"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Theme="minorHAnsi" w:hAnsiTheme="minorHAnsi" w:cs="Arial"/>
                <w:b/>
                <w:bCs/>
                <w:sz w:val="18"/>
                <w:szCs w:val="18"/>
              </w:rPr>
              <w:t>31.9</w:t>
            </w:r>
          </w:p>
        </w:tc>
        <w:tc>
          <w:tcPr>
            <w:tcW w:w="678" w:type="pct"/>
          </w:tcPr>
          <w:p w:rsidR="00D20BD9" w:rsidRPr="00353D66" w:rsidRDefault="00D20BD9">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Pr>
                <w:b/>
                <w:bCs/>
                <w:color w:val="000000"/>
                <w:sz w:val="18"/>
                <w:szCs w:val="18"/>
              </w:rPr>
              <w:t>6.7</w:t>
            </w:r>
          </w:p>
        </w:tc>
        <w:tc>
          <w:tcPr>
            <w:tcW w:w="678" w:type="pct"/>
          </w:tcPr>
          <w:p w:rsidR="00D20BD9" w:rsidRPr="007C1A69" w:rsidRDefault="00CF1EF9">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3.3</w:t>
            </w:r>
          </w:p>
        </w:tc>
      </w:tr>
      <w:tr w:rsidR="00D20BD9" w:rsidRPr="00B6426B" w:rsidTr="00D20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pct"/>
            <w:noWrap/>
            <w:hideMark/>
          </w:tcPr>
          <w:p w:rsidR="00D20BD9" w:rsidRPr="001244FE" w:rsidRDefault="00D20BD9" w:rsidP="0084567E">
            <w:pPr>
              <w:rPr>
                <w:rFonts w:asciiTheme="minorHAnsi" w:hAnsiTheme="minorHAnsi"/>
                <w:sz w:val="18"/>
                <w:szCs w:val="18"/>
              </w:rPr>
            </w:pPr>
            <w:r w:rsidRPr="001244FE">
              <w:rPr>
                <w:rFonts w:asciiTheme="minorHAnsi" w:hAnsiTheme="minorHAnsi"/>
                <w:sz w:val="18"/>
                <w:szCs w:val="18"/>
              </w:rPr>
              <w:t>Average time taken to respond (business days)</w:t>
            </w:r>
          </w:p>
        </w:tc>
        <w:tc>
          <w:tcPr>
            <w:tcW w:w="677" w:type="pct"/>
            <w:noWrap/>
            <w:hideMark/>
          </w:tcPr>
          <w:p w:rsidR="00D20BD9" w:rsidRPr="00B6426B"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b/>
                <w:bCs/>
                <w:color w:val="000000"/>
                <w:sz w:val="18"/>
                <w:szCs w:val="18"/>
              </w:rPr>
              <w:t>13.1</w:t>
            </w:r>
          </w:p>
        </w:tc>
        <w:tc>
          <w:tcPr>
            <w:tcW w:w="678" w:type="pct"/>
            <w:noWrap/>
            <w:hideMark/>
          </w:tcPr>
          <w:p w:rsidR="00D20BD9" w:rsidRPr="00B6426B"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12.6</w:t>
            </w:r>
          </w:p>
        </w:tc>
        <w:tc>
          <w:tcPr>
            <w:tcW w:w="677" w:type="pct"/>
          </w:tcPr>
          <w:p w:rsidR="00D20BD9" w:rsidRPr="00480195"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13.5</w:t>
            </w:r>
          </w:p>
        </w:tc>
        <w:tc>
          <w:tcPr>
            <w:tcW w:w="678" w:type="pct"/>
          </w:tcPr>
          <w:p w:rsidR="00D20BD9" w:rsidRPr="00353D66" w:rsidRDefault="00D20BD9">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6.5</w:t>
            </w:r>
          </w:p>
        </w:tc>
        <w:tc>
          <w:tcPr>
            <w:tcW w:w="678" w:type="pct"/>
          </w:tcPr>
          <w:p w:rsidR="00D20BD9" w:rsidRPr="007C1A69" w:rsidRDefault="00CF1EF9">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13.7</w:t>
            </w:r>
          </w:p>
        </w:tc>
      </w:tr>
      <w:tr w:rsidR="00D20BD9" w:rsidRPr="00B6426B" w:rsidTr="00D20BD9">
        <w:tc>
          <w:tcPr>
            <w:cnfStyle w:val="001000000000" w:firstRow="0" w:lastRow="0" w:firstColumn="1" w:lastColumn="0" w:oddVBand="0" w:evenVBand="0" w:oddHBand="0" w:evenHBand="0" w:firstRowFirstColumn="0" w:firstRowLastColumn="0" w:lastRowFirstColumn="0" w:lastRowLastColumn="0"/>
            <w:tcW w:w="1611" w:type="pct"/>
            <w:noWrap/>
            <w:hideMark/>
          </w:tcPr>
          <w:p w:rsidR="00D20BD9" w:rsidRPr="001244FE" w:rsidRDefault="00D20BD9" w:rsidP="0084567E">
            <w:pPr>
              <w:rPr>
                <w:rFonts w:asciiTheme="minorHAnsi" w:hAnsiTheme="minorHAnsi"/>
                <w:sz w:val="18"/>
                <w:szCs w:val="18"/>
              </w:rPr>
            </w:pPr>
            <w:r w:rsidRPr="001244FE">
              <w:rPr>
                <w:rFonts w:asciiTheme="minorHAnsi" w:hAnsiTheme="minorHAnsi"/>
                <w:sz w:val="18"/>
                <w:szCs w:val="18"/>
              </w:rPr>
              <w:t>Average punctuality (business days late)</w:t>
            </w:r>
          </w:p>
        </w:tc>
        <w:tc>
          <w:tcPr>
            <w:tcW w:w="677" w:type="pct"/>
            <w:noWrap/>
            <w:hideMark/>
          </w:tcPr>
          <w:p w:rsidR="00D20BD9" w:rsidRPr="00B6426B" w:rsidRDefault="00D20BD9"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b/>
                <w:bCs/>
                <w:color w:val="000000"/>
                <w:sz w:val="18"/>
                <w:szCs w:val="18"/>
              </w:rPr>
              <w:t>3.0</w:t>
            </w:r>
          </w:p>
        </w:tc>
        <w:tc>
          <w:tcPr>
            <w:tcW w:w="678" w:type="pct"/>
            <w:noWrap/>
            <w:hideMark/>
          </w:tcPr>
          <w:p w:rsidR="00D20BD9" w:rsidRPr="00B6426B" w:rsidRDefault="00D20BD9"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5.3</w:t>
            </w:r>
          </w:p>
        </w:tc>
        <w:tc>
          <w:tcPr>
            <w:tcW w:w="677" w:type="pct"/>
          </w:tcPr>
          <w:p w:rsidR="00D20BD9" w:rsidRPr="00480195" w:rsidRDefault="00D20BD9"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2.9</w:t>
            </w:r>
          </w:p>
        </w:tc>
        <w:tc>
          <w:tcPr>
            <w:tcW w:w="678" w:type="pct"/>
          </w:tcPr>
          <w:p w:rsidR="00D20BD9" w:rsidRPr="00353D66" w:rsidRDefault="00D20BD9">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353D66">
              <w:rPr>
                <w:b/>
                <w:bCs/>
                <w:color w:val="000000"/>
                <w:sz w:val="18"/>
                <w:szCs w:val="18"/>
              </w:rPr>
              <w:t>-</w:t>
            </w:r>
            <w:r>
              <w:rPr>
                <w:b/>
                <w:bCs/>
                <w:color w:val="000000"/>
                <w:sz w:val="18"/>
                <w:szCs w:val="18"/>
              </w:rPr>
              <w:t>1.3</w:t>
            </w:r>
          </w:p>
        </w:tc>
        <w:tc>
          <w:tcPr>
            <w:tcW w:w="678" w:type="pct"/>
          </w:tcPr>
          <w:p w:rsidR="00D20BD9" w:rsidRPr="007C1A69" w:rsidRDefault="00E12A06">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-2.5</w:t>
            </w:r>
          </w:p>
        </w:tc>
      </w:tr>
      <w:tr w:rsidR="00D20BD9" w:rsidRPr="00B6426B" w:rsidTr="00D20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pct"/>
            <w:noWrap/>
            <w:hideMark/>
          </w:tcPr>
          <w:p w:rsidR="00D20BD9" w:rsidRPr="001244FE" w:rsidRDefault="00D20BD9" w:rsidP="0084567E">
            <w:pPr>
              <w:rPr>
                <w:rFonts w:asciiTheme="minorHAnsi" w:hAnsiTheme="minorHAnsi"/>
                <w:sz w:val="18"/>
                <w:szCs w:val="18"/>
              </w:rPr>
            </w:pPr>
            <w:r w:rsidRPr="001244FE">
              <w:rPr>
                <w:rFonts w:asciiTheme="minorHAnsi" w:hAnsiTheme="minorHAnsi"/>
                <w:sz w:val="18"/>
                <w:szCs w:val="18"/>
              </w:rPr>
              <w:t>Average lateness of late requests (business</w:t>
            </w:r>
            <w:r>
              <w:rPr>
                <w:rFonts w:asciiTheme="minorHAnsi" w:hAnsiTheme="minorHAnsi"/>
                <w:sz w:val="18"/>
                <w:szCs w:val="18"/>
              </w:rPr>
              <w:t> </w:t>
            </w:r>
            <w:r w:rsidRPr="001244FE">
              <w:rPr>
                <w:rFonts w:asciiTheme="minorHAnsi" w:hAnsiTheme="minorHAnsi"/>
                <w:sz w:val="18"/>
                <w:szCs w:val="18"/>
              </w:rPr>
              <w:t>days)</w:t>
            </w:r>
          </w:p>
        </w:tc>
        <w:tc>
          <w:tcPr>
            <w:tcW w:w="677" w:type="pct"/>
            <w:noWrap/>
            <w:hideMark/>
          </w:tcPr>
          <w:p w:rsidR="00D20BD9" w:rsidRPr="00B6426B"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6.5</w:t>
            </w:r>
          </w:p>
        </w:tc>
        <w:tc>
          <w:tcPr>
            <w:tcW w:w="678" w:type="pct"/>
            <w:noWrap/>
            <w:hideMark/>
          </w:tcPr>
          <w:p w:rsidR="00D20BD9" w:rsidRPr="00B6426B"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11.9</w:t>
            </w:r>
          </w:p>
        </w:tc>
        <w:tc>
          <w:tcPr>
            <w:tcW w:w="677" w:type="pct"/>
          </w:tcPr>
          <w:p w:rsidR="00D20BD9" w:rsidRPr="00480195" w:rsidRDefault="00D20BD9" w:rsidP="0084567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11.2</w:t>
            </w:r>
          </w:p>
        </w:tc>
        <w:tc>
          <w:tcPr>
            <w:tcW w:w="678" w:type="pct"/>
          </w:tcPr>
          <w:p w:rsidR="00D20BD9" w:rsidRPr="00353D66" w:rsidRDefault="00D20BD9">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3.5</w:t>
            </w:r>
          </w:p>
        </w:tc>
        <w:tc>
          <w:tcPr>
            <w:tcW w:w="678" w:type="pct"/>
          </w:tcPr>
          <w:p w:rsidR="00D20BD9" w:rsidRPr="007C1A69" w:rsidRDefault="00E12A06">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1.0</w:t>
            </w:r>
          </w:p>
        </w:tc>
      </w:tr>
      <w:tr w:rsidR="00D20BD9" w:rsidRPr="00B6426B" w:rsidTr="00D20BD9">
        <w:tc>
          <w:tcPr>
            <w:cnfStyle w:val="001000000000" w:firstRow="0" w:lastRow="0" w:firstColumn="1" w:lastColumn="0" w:oddVBand="0" w:evenVBand="0" w:oddHBand="0" w:evenHBand="0" w:firstRowFirstColumn="0" w:firstRowLastColumn="0" w:lastRowFirstColumn="0" w:lastRowLastColumn="0"/>
            <w:tcW w:w="1611" w:type="pct"/>
            <w:noWrap/>
            <w:hideMark/>
          </w:tcPr>
          <w:p w:rsidR="00D20BD9" w:rsidRPr="001244FE" w:rsidRDefault="00D20BD9" w:rsidP="0084567E">
            <w:pPr>
              <w:rPr>
                <w:rFonts w:asciiTheme="minorHAnsi" w:hAnsiTheme="minorHAnsi"/>
                <w:sz w:val="18"/>
                <w:szCs w:val="18"/>
              </w:rPr>
            </w:pPr>
            <w:r w:rsidRPr="001244FE">
              <w:rPr>
                <w:rFonts w:asciiTheme="minorHAnsi" w:hAnsiTheme="minorHAnsi"/>
                <w:sz w:val="18"/>
                <w:szCs w:val="18"/>
              </w:rPr>
              <w:t>Requests outstanding at end of period</w:t>
            </w:r>
          </w:p>
        </w:tc>
        <w:tc>
          <w:tcPr>
            <w:tcW w:w="677" w:type="pct"/>
            <w:noWrap/>
            <w:hideMark/>
          </w:tcPr>
          <w:p w:rsidR="00D20BD9" w:rsidRPr="00B6426B" w:rsidRDefault="00D20BD9"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2</w:t>
            </w:r>
            <w:r>
              <w:rPr>
                <w:b/>
                <w:bCs/>
                <w:color w:val="000000"/>
                <w:sz w:val="18"/>
                <w:szCs w:val="18"/>
              </w:rPr>
              <w:t>8</w:t>
            </w:r>
          </w:p>
        </w:tc>
        <w:tc>
          <w:tcPr>
            <w:tcW w:w="678" w:type="pct"/>
            <w:noWrap/>
            <w:hideMark/>
          </w:tcPr>
          <w:p w:rsidR="00D20BD9" w:rsidRPr="00B6426B" w:rsidRDefault="00D20BD9"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B6426B">
              <w:rPr>
                <w:b/>
                <w:bCs/>
                <w:color w:val="000000"/>
                <w:sz w:val="18"/>
                <w:szCs w:val="18"/>
              </w:rPr>
              <w:t>16</w:t>
            </w:r>
          </w:p>
        </w:tc>
        <w:tc>
          <w:tcPr>
            <w:tcW w:w="677" w:type="pct"/>
          </w:tcPr>
          <w:p w:rsidR="00D20BD9" w:rsidRPr="00480195" w:rsidRDefault="00D20BD9" w:rsidP="008456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sidRPr="00480195">
              <w:rPr>
                <w:rFonts w:asciiTheme="minorHAnsi" w:hAnsiTheme="minorHAnsi" w:cs="Arial"/>
                <w:b/>
                <w:bCs/>
                <w:sz w:val="18"/>
                <w:szCs w:val="18"/>
              </w:rPr>
              <w:t>3</w:t>
            </w:r>
          </w:p>
        </w:tc>
        <w:tc>
          <w:tcPr>
            <w:tcW w:w="678" w:type="pct"/>
          </w:tcPr>
          <w:p w:rsidR="00D20BD9" w:rsidRPr="00353D66" w:rsidRDefault="00D20BD9">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353D66">
              <w:rPr>
                <w:b/>
                <w:bCs/>
                <w:color w:val="000000"/>
                <w:sz w:val="18"/>
                <w:szCs w:val="18"/>
              </w:rPr>
              <w:t>1</w:t>
            </w:r>
          </w:p>
        </w:tc>
        <w:tc>
          <w:tcPr>
            <w:tcW w:w="678" w:type="pct"/>
          </w:tcPr>
          <w:p w:rsidR="00D20BD9" w:rsidRPr="007C1A69" w:rsidRDefault="00DA19EE">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7</w:t>
            </w:r>
          </w:p>
        </w:tc>
      </w:tr>
    </w:tbl>
    <w:p w:rsidR="007432E3" w:rsidRPr="00543268" w:rsidRDefault="007432E3" w:rsidP="007432E3">
      <w:pPr>
        <w:pStyle w:val="PBOtext"/>
        <w:spacing w:before="340"/>
      </w:pPr>
      <w:r>
        <w:t xml:space="preserve">As at </w:t>
      </w:r>
      <w:r w:rsidR="003C319A">
        <w:t>30 September</w:t>
      </w:r>
      <w:r w:rsidR="00BB03B4">
        <w:t xml:space="preserve"> 2016</w:t>
      </w:r>
      <w:r w:rsidRPr="00A87BFA">
        <w:t xml:space="preserve">, </w:t>
      </w:r>
      <w:r w:rsidRPr="00075898">
        <w:t>no</w:t>
      </w:r>
      <w:r>
        <w:t xml:space="preserve"> requests were overdue.</w:t>
      </w:r>
    </w:p>
    <w:p w:rsidR="007432E3" w:rsidRDefault="007432E3" w:rsidP="007432E3">
      <w:pPr>
        <w:pStyle w:val="Caption"/>
        <w:keepNext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Figure 2: </w:t>
      </w:r>
      <w:r>
        <w:rPr>
          <w:rFonts w:asciiTheme="minorHAnsi" w:eastAsiaTheme="minorHAnsi" w:hAnsiTheme="minorHAnsi" w:cstheme="minorBidi"/>
          <w:color w:val="1F497D" w:themeColor="text2"/>
          <w:spacing w:val="-4"/>
          <w:sz w:val="20"/>
          <w:lang w:eastAsia="en-US"/>
        </w:rPr>
        <w:t>Agencies’</w:t>
      </w:r>
      <w:r w:rsidRPr="005D002A">
        <w:rPr>
          <w:rFonts w:asciiTheme="minorHAnsi" w:eastAsiaTheme="minorHAnsi" w:hAnsiTheme="minorHAnsi" w:cstheme="minorBidi"/>
          <w:color w:val="1F497D" w:themeColor="text2"/>
          <w:spacing w:val="-4"/>
          <w:sz w:val="20"/>
          <w:lang w:eastAsia="en-US"/>
        </w:rPr>
        <w:t xml:space="preserve"> response time</w:t>
      </w:r>
      <w:r>
        <w:rPr>
          <w:rFonts w:asciiTheme="minorHAnsi" w:eastAsiaTheme="minorHAnsi" w:hAnsiTheme="minorHAnsi" w:cstheme="minorBidi"/>
          <w:color w:val="1F497D" w:themeColor="text2"/>
          <w:spacing w:val="-4"/>
          <w:sz w:val="20"/>
          <w:lang w:eastAsia="en-US"/>
        </w:rPr>
        <w:t>s</w:t>
      </w:r>
      <w:r w:rsidRPr="005D002A">
        <w:rPr>
          <w:rFonts w:asciiTheme="minorHAnsi" w:eastAsiaTheme="minorHAnsi" w:hAnsiTheme="minorHAnsi" w:cstheme="minorBidi"/>
          <w:color w:val="1F497D" w:themeColor="text2"/>
          <w:spacing w:val="-4"/>
          <w:sz w:val="20"/>
          <w:lang w:eastAsia="en-US"/>
        </w:rPr>
        <w:t xml:space="preserve"> for completed information requests</w:t>
      </w:r>
      <w:r>
        <w:rPr>
          <w:rFonts w:asciiTheme="minorHAnsi" w:eastAsiaTheme="minorHAnsi" w:hAnsiTheme="minorHAnsi" w:cstheme="minorBidi"/>
          <w:color w:val="1F497D" w:themeColor="text2"/>
          <w:spacing w:val="-4"/>
          <w:sz w:val="20"/>
          <w:lang w:eastAsia="en-US"/>
        </w:rPr>
        <w:t xml:space="preserve"> in </w:t>
      </w:r>
      <w:r w:rsidR="005B0A14">
        <w:rPr>
          <w:rFonts w:asciiTheme="minorHAnsi" w:eastAsiaTheme="minorHAnsi" w:hAnsiTheme="minorHAnsi" w:cstheme="minorBidi"/>
          <w:color w:val="1F497D" w:themeColor="text2"/>
          <w:spacing w:val="-4"/>
          <w:sz w:val="20"/>
          <w:lang w:eastAsia="en-US"/>
        </w:rPr>
        <w:t>2016</w:t>
      </w:r>
      <w:r>
        <w:rPr>
          <w:rFonts w:asciiTheme="minorHAnsi" w:eastAsiaTheme="minorHAnsi" w:hAnsiTheme="minorHAnsi" w:cstheme="minorBidi"/>
          <w:color w:val="1F497D" w:themeColor="text2"/>
          <w:spacing w:val="-4"/>
          <w:sz w:val="20"/>
          <w:lang w:eastAsia="en-US"/>
        </w:rPr>
        <w:t>–</w:t>
      </w:r>
      <w:r w:rsidR="005B0A14">
        <w:rPr>
          <w:rFonts w:asciiTheme="minorHAnsi" w:eastAsiaTheme="minorHAnsi" w:hAnsiTheme="minorHAnsi" w:cstheme="minorBidi"/>
          <w:color w:val="1F497D" w:themeColor="text2"/>
          <w:spacing w:val="-4"/>
          <w:sz w:val="20"/>
          <w:lang w:eastAsia="en-US"/>
        </w:rPr>
        <w:t xml:space="preserve">17 </w:t>
      </w:r>
      <w:r>
        <w:rPr>
          <w:rFonts w:asciiTheme="minorHAnsi" w:eastAsiaTheme="minorHAnsi" w:hAnsiTheme="minorHAnsi" w:cstheme="minorBidi"/>
          <w:color w:val="1F497D" w:themeColor="text2"/>
          <w:spacing w:val="-4"/>
          <w:sz w:val="20"/>
          <w:lang w:eastAsia="en-US"/>
        </w:rPr>
        <w:t xml:space="preserve">to </w:t>
      </w:r>
      <w:r w:rsidR="003C319A">
        <w:rPr>
          <w:rFonts w:asciiTheme="minorHAnsi" w:eastAsiaTheme="minorHAnsi" w:hAnsiTheme="minorHAnsi" w:cstheme="minorBidi"/>
          <w:color w:val="1F497D" w:themeColor="text2"/>
          <w:spacing w:val="-4"/>
          <w:sz w:val="20"/>
          <w:lang w:eastAsia="en-US"/>
        </w:rPr>
        <w:t>30 September</w:t>
      </w:r>
      <w:r w:rsidR="00BB03B4">
        <w:rPr>
          <w:rFonts w:asciiTheme="minorHAnsi" w:eastAsiaTheme="minorHAnsi" w:hAnsiTheme="minorHAnsi" w:cstheme="minorBidi"/>
          <w:color w:val="1F497D" w:themeColor="text2"/>
          <w:spacing w:val="-4"/>
          <w:sz w:val="20"/>
          <w:lang w:eastAsia="en-US"/>
        </w:rPr>
        <w:t xml:space="preserve"> 2016</w:t>
      </w:r>
    </w:p>
    <w:p w:rsidR="00A523DC" w:rsidRPr="00A523DC" w:rsidRDefault="00B168E8" w:rsidP="00A523DC">
      <w:r>
        <w:rPr>
          <w:noProof/>
          <w:lang w:eastAsia="en-AU"/>
        </w:rPr>
        <w:drawing>
          <wp:inline distT="0" distB="0" distL="0" distR="0" wp14:anchorId="548DD536" wp14:editId="13BDFCE4">
            <wp:extent cx="5731510" cy="244691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2446914"/>
                    </a:xfrm>
                    <a:prstGeom prst="rect">
                      <a:avLst/>
                    </a:prstGeom>
                  </pic:spPr>
                </pic:pic>
              </a:graphicData>
            </a:graphic>
          </wp:inline>
        </w:drawing>
      </w:r>
    </w:p>
    <w:p w:rsidR="00A523DC" w:rsidRDefault="007432E3" w:rsidP="00A87BF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lastRenderedPageBreak/>
        <w:t xml:space="preserve">Figure 3: Timeliness of response by </w:t>
      </w:r>
      <w:r>
        <w:rPr>
          <w:rFonts w:asciiTheme="minorHAnsi" w:eastAsiaTheme="minorHAnsi" w:hAnsiTheme="minorHAnsi" w:cstheme="minorBidi"/>
          <w:color w:val="1F497D" w:themeColor="text2"/>
          <w:spacing w:val="-4"/>
          <w:sz w:val="20"/>
          <w:lang w:eastAsia="en-US"/>
        </w:rPr>
        <w:t xml:space="preserve">agencies </w:t>
      </w:r>
      <w:r w:rsidRPr="000F5570">
        <w:rPr>
          <w:rFonts w:asciiTheme="minorHAnsi" w:eastAsiaTheme="minorHAnsi" w:hAnsiTheme="minorHAnsi" w:cstheme="minorBidi"/>
          <w:color w:val="1F497D" w:themeColor="text2"/>
          <w:spacing w:val="-4"/>
          <w:sz w:val="20"/>
          <w:lang w:val="en-US" w:eastAsia="en-US"/>
        </w:rPr>
        <w:t>to infor</w:t>
      </w:r>
      <w:r>
        <w:rPr>
          <w:rFonts w:asciiTheme="minorHAnsi" w:eastAsiaTheme="minorHAnsi" w:hAnsiTheme="minorHAnsi" w:cstheme="minorBidi"/>
          <w:color w:val="1F497D" w:themeColor="text2"/>
          <w:spacing w:val="-4"/>
          <w:sz w:val="20"/>
          <w:lang w:val="en-US" w:eastAsia="en-US"/>
        </w:rPr>
        <w:t>mation requests in 201</w:t>
      </w:r>
      <w:r w:rsidR="005B0A14">
        <w:rPr>
          <w:rFonts w:asciiTheme="minorHAnsi" w:eastAsiaTheme="minorHAnsi" w:hAnsiTheme="minorHAnsi" w:cstheme="minorBidi"/>
          <w:color w:val="1F497D" w:themeColor="text2"/>
          <w:spacing w:val="-4"/>
          <w:sz w:val="20"/>
          <w:lang w:val="en-US" w:eastAsia="en-US"/>
        </w:rPr>
        <w:t>6</w:t>
      </w:r>
      <w:r>
        <w:rPr>
          <w:rFonts w:asciiTheme="minorHAnsi" w:eastAsiaTheme="minorHAnsi" w:hAnsiTheme="minorHAnsi" w:cstheme="minorBidi"/>
          <w:color w:val="1F497D" w:themeColor="text2"/>
          <w:spacing w:val="-4"/>
          <w:sz w:val="20"/>
          <w:lang w:val="en-US" w:eastAsia="en-US"/>
        </w:rPr>
        <w:t>–1</w:t>
      </w:r>
      <w:r w:rsidR="005B0A14">
        <w:rPr>
          <w:rFonts w:asciiTheme="minorHAnsi" w:eastAsiaTheme="minorHAnsi" w:hAnsiTheme="minorHAnsi" w:cstheme="minorBidi"/>
          <w:color w:val="1F497D" w:themeColor="text2"/>
          <w:spacing w:val="-4"/>
          <w:sz w:val="20"/>
          <w:lang w:val="en-US" w:eastAsia="en-US"/>
        </w:rPr>
        <w:t>7</w:t>
      </w:r>
      <w:r>
        <w:rPr>
          <w:rFonts w:asciiTheme="minorHAnsi" w:eastAsiaTheme="minorHAnsi" w:hAnsiTheme="minorHAnsi" w:cstheme="minorBidi"/>
          <w:color w:val="1F497D" w:themeColor="text2"/>
          <w:spacing w:val="-4"/>
          <w:sz w:val="20"/>
          <w:lang w:val="en-US" w:eastAsia="en-US"/>
        </w:rPr>
        <w:t xml:space="preserve"> to </w:t>
      </w:r>
      <w:r w:rsidR="003C319A">
        <w:rPr>
          <w:rFonts w:asciiTheme="minorHAnsi" w:eastAsiaTheme="minorHAnsi" w:hAnsiTheme="minorHAnsi" w:cstheme="minorBidi"/>
          <w:color w:val="1F497D" w:themeColor="text2"/>
          <w:spacing w:val="-4"/>
          <w:sz w:val="20"/>
          <w:lang w:eastAsia="en-US"/>
        </w:rPr>
        <w:t>30 September</w:t>
      </w:r>
      <w:r w:rsidR="00353D66">
        <w:rPr>
          <w:rFonts w:asciiTheme="minorHAnsi" w:eastAsiaTheme="minorHAnsi" w:hAnsiTheme="minorHAnsi" w:cstheme="minorBidi"/>
          <w:color w:val="1F497D" w:themeColor="text2"/>
          <w:spacing w:val="-4"/>
          <w:sz w:val="20"/>
          <w:lang w:eastAsia="en-US"/>
        </w:rPr>
        <w:t xml:space="preserve"> 2016</w:t>
      </w:r>
    </w:p>
    <w:p w:rsidR="00A87BFA" w:rsidRDefault="00B168E8" w:rsidP="00F547F6">
      <w:pPr>
        <w:pStyle w:val="PBOtext"/>
      </w:pPr>
      <w:r>
        <w:rPr>
          <w:noProof/>
        </w:rPr>
        <w:drawing>
          <wp:inline distT="0" distB="0" distL="0" distR="0" wp14:anchorId="7C8B0818" wp14:editId="43907966">
            <wp:extent cx="5731510" cy="2569994"/>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569994"/>
                    </a:xfrm>
                    <a:prstGeom prst="rect">
                      <a:avLst/>
                    </a:prstGeom>
                  </pic:spPr>
                </pic:pic>
              </a:graphicData>
            </a:graphic>
          </wp:inline>
        </w:drawing>
      </w:r>
    </w:p>
    <w:p w:rsidR="007432E3" w:rsidRDefault="007432E3" w:rsidP="00174EE0">
      <w:r w:rsidRPr="00AD58FE">
        <w:t xml:space="preserve">‘On time’ </w:t>
      </w:r>
      <w:r>
        <w:t xml:space="preserve">responses </w:t>
      </w:r>
      <w:r w:rsidRPr="00AD58FE">
        <w:t>include responses provided before the due date.</w:t>
      </w:r>
      <w:r w:rsidR="00A87BFA">
        <w:t xml:space="preserve"> </w:t>
      </w:r>
      <w:r w:rsidR="00D22C5D">
        <w:t xml:space="preserve"> </w:t>
      </w:r>
    </w:p>
    <w:p w:rsidR="007432E3" w:rsidRPr="00AD58FE" w:rsidRDefault="007432E3" w:rsidP="007432E3">
      <w:pPr>
        <w:pStyle w:val="PBOtext"/>
        <w:spacing w:before="340"/>
      </w:pPr>
    </w:p>
    <w:p w:rsidR="007432E3" w:rsidRPr="00AD58FE" w:rsidRDefault="007432E3" w:rsidP="007432E3">
      <w:pPr>
        <w:pStyle w:val="PBOtext"/>
        <w:spacing w:before="340"/>
        <w:sectPr w:rsidR="007432E3" w:rsidRPr="00AD58FE" w:rsidSect="008F298A">
          <w:footerReference w:type="default" r:id="rId13"/>
          <w:pgSz w:w="11906" w:h="16838"/>
          <w:pgMar w:top="1440" w:right="1440" w:bottom="1440" w:left="1440" w:header="709" w:footer="709" w:gutter="0"/>
          <w:pgNumType w:start="1"/>
          <w:cols w:space="708"/>
          <w:titlePg/>
          <w:docGrid w:linePitch="360"/>
        </w:sectPr>
      </w:pPr>
    </w:p>
    <w:p w:rsidR="007432E3" w:rsidRDefault="007432E3" w:rsidP="007432E3">
      <w:pPr>
        <w:pStyle w:val="Caption"/>
        <w:spacing w:before="340" w:after="114" w:line="250" w:lineRule="atLeast"/>
        <w:jc w:val="left"/>
        <w:rPr>
          <w:rFonts w:asciiTheme="minorHAnsi" w:eastAsiaTheme="minorHAnsi" w:hAnsiTheme="minorHAnsi" w:cstheme="minorBidi"/>
          <w:color w:val="1F497D" w:themeColor="text2"/>
          <w:spacing w:val="-4"/>
          <w:sz w:val="20"/>
          <w:lang w:eastAsia="en-US"/>
        </w:rPr>
      </w:pPr>
      <w:r>
        <w:rPr>
          <w:rFonts w:asciiTheme="minorHAnsi" w:eastAsiaTheme="minorHAnsi" w:hAnsiTheme="minorHAnsi" w:cstheme="minorBidi"/>
          <w:color w:val="1F497D" w:themeColor="text2"/>
          <w:spacing w:val="-4"/>
          <w:sz w:val="20"/>
          <w:lang w:eastAsia="en-US"/>
        </w:rPr>
        <w:lastRenderedPageBreak/>
        <w:t>Table 3</w:t>
      </w:r>
      <w:r w:rsidRPr="005D002A">
        <w:rPr>
          <w:rFonts w:asciiTheme="minorHAnsi" w:eastAsiaTheme="minorHAnsi" w:hAnsiTheme="minorHAnsi" w:cstheme="minorBidi"/>
          <w:color w:val="1F497D" w:themeColor="text2"/>
          <w:spacing w:val="-4"/>
          <w:sz w:val="20"/>
          <w:lang w:eastAsia="en-US"/>
        </w:rPr>
        <w:t xml:space="preserve">: </w:t>
      </w:r>
      <w:r w:rsidRPr="00B95846">
        <w:rPr>
          <w:rFonts w:asciiTheme="minorHAnsi" w:eastAsiaTheme="minorHAnsi" w:hAnsiTheme="minorHAnsi" w:cstheme="minorBidi"/>
          <w:color w:val="1F497D" w:themeColor="text2"/>
          <w:spacing w:val="-4"/>
          <w:sz w:val="20"/>
          <w:lang w:eastAsia="en-US"/>
        </w:rPr>
        <w:t xml:space="preserve">Information </w:t>
      </w:r>
      <w:r>
        <w:rPr>
          <w:rFonts w:asciiTheme="minorHAnsi" w:eastAsiaTheme="minorHAnsi" w:hAnsiTheme="minorHAnsi" w:cstheme="minorBidi"/>
          <w:color w:val="1F497D" w:themeColor="text2"/>
          <w:spacing w:val="-4"/>
          <w:sz w:val="20"/>
          <w:lang w:eastAsia="en-US"/>
        </w:rPr>
        <w:t>r</w:t>
      </w:r>
      <w:r w:rsidRPr="00B95846">
        <w:rPr>
          <w:rFonts w:asciiTheme="minorHAnsi" w:eastAsiaTheme="minorHAnsi" w:hAnsiTheme="minorHAnsi" w:cstheme="minorBidi"/>
          <w:color w:val="1F497D" w:themeColor="text2"/>
          <w:spacing w:val="-4"/>
          <w:sz w:val="20"/>
          <w:lang w:eastAsia="en-US"/>
        </w:rPr>
        <w:t xml:space="preserve">equest responsiveness </w:t>
      </w:r>
      <w:r>
        <w:rPr>
          <w:rFonts w:asciiTheme="minorHAnsi" w:eastAsiaTheme="minorHAnsi" w:hAnsiTheme="minorHAnsi" w:cstheme="minorBidi"/>
          <w:color w:val="1F497D" w:themeColor="text2"/>
          <w:spacing w:val="-4"/>
          <w:sz w:val="20"/>
          <w:lang w:eastAsia="en-US"/>
        </w:rPr>
        <w:t xml:space="preserve">by agencies in </w:t>
      </w:r>
      <w:r w:rsidR="00357D9F">
        <w:rPr>
          <w:rFonts w:asciiTheme="minorHAnsi" w:eastAsiaTheme="minorHAnsi" w:hAnsiTheme="minorHAnsi" w:cstheme="minorBidi"/>
          <w:color w:val="1F497D" w:themeColor="text2"/>
          <w:spacing w:val="-4"/>
          <w:sz w:val="20"/>
          <w:lang w:eastAsia="en-US"/>
        </w:rPr>
        <w:t>2016</w:t>
      </w:r>
      <w:r>
        <w:rPr>
          <w:rFonts w:asciiTheme="minorHAnsi" w:eastAsiaTheme="minorHAnsi" w:hAnsiTheme="minorHAnsi" w:cstheme="minorBidi"/>
          <w:color w:val="1F497D" w:themeColor="text2"/>
          <w:spacing w:val="-4"/>
          <w:sz w:val="20"/>
          <w:lang w:eastAsia="en-US"/>
        </w:rPr>
        <w:t>–</w:t>
      </w:r>
      <w:r w:rsidR="00357D9F">
        <w:rPr>
          <w:rFonts w:asciiTheme="minorHAnsi" w:eastAsiaTheme="minorHAnsi" w:hAnsiTheme="minorHAnsi" w:cstheme="minorBidi"/>
          <w:color w:val="1F497D" w:themeColor="text2"/>
          <w:spacing w:val="-4"/>
          <w:sz w:val="20"/>
          <w:lang w:eastAsia="en-US"/>
        </w:rPr>
        <w:t>17</w:t>
      </w:r>
      <w:r w:rsidR="00357D9F" w:rsidRPr="00B95846">
        <w:rPr>
          <w:rFonts w:asciiTheme="minorHAnsi" w:eastAsiaTheme="minorHAnsi" w:hAnsiTheme="minorHAnsi" w:cstheme="minorBidi"/>
          <w:color w:val="1F497D" w:themeColor="text2"/>
          <w:spacing w:val="-4"/>
          <w:sz w:val="20"/>
          <w:lang w:eastAsia="en-US"/>
        </w:rPr>
        <w:t xml:space="preserve"> </w:t>
      </w:r>
      <w:r w:rsidRPr="00B95846">
        <w:rPr>
          <w:rFonts w:asciiTheme="minorHAnsi" w:eastAsiaTheme="minorHAnsi" w:hAnsiTheme="minorHAnsi" w:cstheme="minorBidi"/>
          <w:color w:val="1F497D" w:themeColor="text2"/>
          <w:spacing w:val="-4"/>
          <w:sz w:val="20"/>
          <w:lang w:eastAsia="en-US"/>
        </w:rPr>
        <w:t>to</w:t>
      </w:r>
      <w:r>
        <w:rPr>
          <w:rFonts w:asciiTheme="minorHAnsi" w:eastAsiaTheme="minorHAnsi" w:hAnsiTheme="minorHAnsi" w:cstheme="minorBidi"/>
          <w:color w:val="1F497D" w:themeColor="text2"/>
          <w:spacing w:val="-4"/>
          <w:sz w:val="20"/>
          <w:lang w:val="en-US" w:eastAsia="en-US"/>
        </w:rPr>
        <w:t xml:space="preserve"> </w:t>
      </w:r>
      <w:r w:rsidR="003C319A">
        <w:rPr>
          <w:rFonts w:asciiTheme="minorHAnsi" w:eastAsiaTheme="minorHAnsi" w:hAnsiTheme="minorHAnsi" w:cstheme="minorBidi"/>
          <w:color w:val="1F497D" w:themeColor="text2"/>
          <w:spacing w:val="-4"/>
          <w:sz w:val="20"/>
          <w:lang w:eastAsia="en-US"/>
        </w:rPr>
        <w:t>30 September</w:t>
      </w:r>
      <w:r w:rsidR="00BB03B4">
        <w:rPr>
          <w:rFonts w:asciiTheme="minorHAnsi" w:eastAsiaTheme="minorHAnsi" w:hAnsiTheme="minorHAnsi" w:cstheme="minorBidi"/>
          <w:color w:val="1F497D" w:themeColor="text2"/>
          <w:spacing w:val="-4"/>
          <w:sz w:val="20"/>
          <w:lang w:eastAsia="en-US"/>
        </w:rPr>
        <w:t xml:space="preserve"> 2016</w:t>
      </w:r>
    </w:p>
    <w:p w:rsidR="00754AE3" w:rsidRPr="00754AE3" w:rsidRDefault="000A0B62" w:rsidP="00754AE3">
      <w:r>
        <w:rPr>
          <w:noProof/>
          <w:lang w:eastAsia="en-AU"/>
        </w:rPr>
        <w:drawing>
          <wp:inline distT="0" distB="0" distL="0" distR="0" wp14:anchorId="5D24EF98" wp14:editId="6D08909A">
            <wp:extent cx="8848725" cy="312068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851406" cy="3121634"/>
                    </a:xfrm>
                    <a:prstGeom prst="rect">
                      <a:avLst/>
                    </a:prstGeom>
                  </pic:spPr>
                </pic:pic>
              </a:graphicData>
            </a:graphic>
          </wp:inline>
        </w:drawing>
      </w:r>
    </w:p>
    <w:p w:rsidR="007432E3" w:rsidRDefault="007432E3" w:rsidP="003553BD">
      <w:pPr>
        <w:keepNext/>
        <w:keepLines/>
        <w:tabs>
          <w:tab w:val="left" w:pos="142"/>
        </w:tabs>
        <w:spacing w:after="120"/>
      </w:pPr>
      <w:r w:rsidRPr="005E4E21">
        <w:rPr>
          <w:rFonts w:asciiTheme="minorHAnsi" w:hAnsiTheme="minorHAnsi"/>
          <w:sz w:val="16"/>
          <w:vertAlign w:val="superscript"/>
        </w:rPr>
        <w:t>1</w:t>
      </w:r>
      <w:r w:rsidR="009837E2">
        <w:rPr>
          <w:rFonts w:asciiTheme="minorHAnsi" w:hAnsiTheme="minorHAnsi"/>
          <w:sz w:val="16"/>
        </w:rPr>
        <w:tab/>
      </w:r>
      <w:r w:rsidRPr="005E4E21">
        <w:rPr>
          <w:rFonts w:asciiTheme="minorHAnsi" w:hAnsiTheme="minorHAnsi"/>
          <w:sz w:val="16"/>
        </w:rPr>
        <w:t xml:space="preserve">Includes </w:t>
      </w:r>
      <w:r w:rsidR="005B0A14">
        <w:rPr>
          <w:rFonts w:asciiTheme="minorHAnsi" w:hAnsiTheme="minorHAnsi"/>
          <w:sz w:val="16"/>
        </w:rPr>
        <w:t>one</w:t>
      </w:r>
      <w:r w:rsidR="005B0A14" w:rsidRPr="005E4E21">
        <w:rPr>
          <w:rFonts w:asciiTheme="minorHAnsi" w:hAnsiTheme="minorHAnsi"/>
          <w:sz w:val="16"/>
        </w:rPr>
        <w:t xml:space="preserve"> </w:t>
      </w:r>
      <w:r w:rsidRPr="005E4E21">
        <w:rPr>
          <w:rFonts w:asciiTheme="minorHAnsi" w:hAnsiTheme="minorHAnsi"/>
          <w:sz w:val="16"/>
        </w:rPr>
        <w:t xml:space="preserve">outstanding request as at 30 </w:t>
      </w:r>
      <w:r>
        <w:rPr>
          <w:rFonts w:asciiTheme="minorHAnsi" w:hAnsiTheme="minorHAnsi"/>
          <w:sz w:val="16"/>
        </w:rPr>
        <w:t>June</w:t>
      </w:r>
      <w:r w:rsidRPr="005E4E21">
        <w:rPr>
          <w:rFonts w:asciiTheme="minorHAnsi" w:hAnsiTheme="minorHAnsi"/>
          <w:sz w:val="16"/>
        </w:rPr>
        <w:t xml:space="preserve"> </w:t>
      </w:r>
      <w:r w:rsidR="005B0A14" w:rsidRPr="005E4E21">
        <w:rPr>
          <w:rFonts w:asciiTheme="minorHAnsi" w:hAnsiTheme="minorHAnsi"/>
          <w:sz w:val="16"/>
        </w:rPr>
        <w:t>201</w:t>
      </w:r>
      <w:r w:rsidR="005B0A14">
        <w:rPr>
          <w:rFonts w:asciiTheme="minorHAnsi" w:hAnsiTheme="minorHAnsi"/>
          <w:sz w:val="16"/>
        </w:rPr>
        <w:t>6</w:t>
      </w:r>
      <w:r w:rsidR="005B0A14" w:rsidRPr="005E4E21">
        <w:rPr>
          <w:rFonts w:asciiTheme="minorHAnsi" w:hAnsiTheme="minorHAnsi"/>
          <w:sz w:val="16"/>
        </w:rPr>
        <w:t xml:space="preserve"> </w:t>
      </w:r>
      <w:r w:rsidRPr="005E4E21">
        <w:rPr>
          <w:rFonts w:asciiTheme="minorHAnsi" w:hAnsiTheme="minorHAnsi"/>
          <w:sz w:val="16"/>
        </w:rPr>
        <w:t xml:space="preserve">carried over </w:t>
      </w:r>
      <w:r>
        <w:rPr>
          <w:rFonts w:asciiTheme="minorHAnsi" w:hAnsiTheme="minorHAnsi"/>
          <w:sz w:val="16"/>
        </w:rPr>
        <w:t>to 201</w:t>
      </w:r>
      <w:r w:rsidR="005B0A14">
        <w:rPr>
          <w:rFonts w:asciiTheme="minorHAnsi" w:hAnsiTheme="minorHAnsi"/>
          <w:sz w:val="16"/>
        </w:rPr>
        <w:t>6</w:t>
      </w:r>
      <w:r>
        <w:rPr>
          <w:rFonts w:asciiTheme="minorHAnsi" w:hAnsiTheme="minorHAnsi"/>
          <w:sz w:val="16"/>
        </w:rPr>
        <w:t>–1</w:t>
      </w:r>
      <w:r w:rsidR="005B0A14">
        <w:rPr>
          <w:rFonts w:asciiTheme="minorHAnsi" w:hAnsiTheme="minorHAnsi"/>
          <w:sz w:val="16"/>
        </w:rPr>
        <w:t>7</w:t>
      </w:r>
      <w:r>
        <w:rPr>
          <w:rFonts w:asciiTheme="minorHAnsi" w:hAnsiTheme="minorHAnsi"/>
          <w:sz w:val="16"/>
        </w:rPr>
        <w:t>.</w:t>
      </w:r>
    </w:p>
    <w:p w:rsidR="00C1317A" w:rsidRDefault="00E12A06" w:rsidP="003553BD">
      <w:pPr>
        <w:keepNext/>
        <w:keepLines/>
        <w:tabs>
          <w:tab w:val="left" w:pos="142"/>
        </w:tabs>
        <w:spacing w:after="120"/>
        <w:rPr>
          <w:rFonts w:asciiTheme="minorHAnsi" w:hAnsiTheme="minorHAnsi"/>
          <w:sz w:val="16"/>
        </w:rPr>
      </w:pPr>
      <w:r w:rsidRPr="003553BD">
        <w:rPr>
          <w:rFonts w:asciiTheme="minorHAnsi" w:hAnsiTheme="minorHAnsi"/>
          <w:sz w:val="16"/>
          <w:vertAlign w:val="superscript"/>
        </w:rPr>
        <w:t>2</w:t>
      </w:r>
      <w:r w:rsidR="003553BD">
        <w:rPr>
          <w:rFonts w:asciiTheme="minorHAnsi" w:hAnsiTheme="minorHAnsi"/>
          <w:sz w:val="16"/>
          <w:vertAlign w:val="superscript"/>
        </w:rPr>
        <w:tab/>
      </w:r>
      <w:r w:rsidR="00F8022A">
        <w:rPr>
          <w:rFonts w:asciiTheme="minorHAnsi" w:hAnsiTheme="minorHAnsi"/>
          <w:sz w:val="16"/>
        </w:rPr>
        <w:t>T</w:t>
      </w:r>
      <w:r w:rsidR="003553BD" w:rsidRPr="003553BD">
        <w:rPr>
          <w:rFonts w:asciiTheme="minorHAnsi" w:hAnsiTheme="minorHAnsi"/>
          <w:sz w:val="16"/>
        </w:rPr>
        <w:t>he timeframes for these agencies are affected by the provision of highly detailed microdata sets that require the agency providing the data to undertake data extraction, checking and cleansing work prior to provision of the requested information.</w:t>
      </w:r>
    </w:p>
    <w:p w:rsidR="003553BD" w:rsidRPr="007C1434" w:rsidRDefault="003553BD" w:rsidP="003553BD">
      <w:pPr>
        <w:keepNext/>
        <w:keepLines/>
        <w:tabs>
          <w:tab w:val="left" w:pos="142"/>
        </w:tabs>
        <w:spacing w:after="120"/>
        <w:rPr>
          <w:rFonts w:asciiTheme="minorHAnsi" w:hAnsiTheme="minorHAnsi"/>
          <w:sz w:val="16"/>
        </w:rPr>
        <w:sectPr w:rsidR="003553BD" w:rsidRPr="007C1434" w:rsidSect="00A734A7">
          <w:footerReference w:type="default" r:id="rId15"/>
          <w:pgSz w:w="16838" w:h="11906" w:orient="landscape"/>
          <w:pgMar w:top="1440" w:right="1440" w:bottom="1440" w:left="1440" w:header="709" w:footer="709" w:gutter="0"/>
          <w:cols w:space="708"/>
          <w:docGrid w:linePitch="360"/>
        </w:sectPr>
      </w:pPr>
    </w:p>
    <w:p w:rsidR="009A5648" w:rsidRDefault="00AA3A52" w:rsidP="00A55569">
      <w:pPr>
        <w:pStyle w:val="PBOheading1"/>
      </w:pPr>
      <w:r>
        <w:lastRenderedPageBreak/>
        <w:t xml:space="preserve">PBO staff by function and </w:t>
      </w:r>
      <w:r w:rsidR="00E8002B">
        <w:t>employment level</w:t>
      </w:r>
    </w:p>
    <w:p w:rsidR="000743AC" w:rsidRDefault="00543268"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Table </w:t>
      </w:r>
      <w:r w:rsidR="00D90430">
        <w:rPr>
          <w:rFonts w:asciiTheme="minorHAnsi" w:eastAsiaTheme="minorHAnsi" w:hAnsiTheme="minorHAnsi" w:cstheme="minorBidi"/>
          <w:color w:val="1F497D" w:themeColor="text2"/>
          <w:spacing w:val="-4"/>
          <w:sz w:val="20"/>
          <w:lang w:eastAsia="en-US"/>
        </w:rPr>
        <w:t>4</w:t>
      </w:r>
      <w:r w:rsidRPr="005D002A">
        <w:rPr>
          <w:rFonts w:asciiTheme="minorHAnsi" w:eastAsiaTheme="minorHAnsi" w:hAnsiTheme="minorHAnsi" w:cstheme="minorBidi"/>
          <w:color w:val="1F497D" w:themeColor="text2"/>
          <w:spacing w:val="-4"/>
          <w:sz w:val="20"/>
          <w:lang w:eastAsia="en-US"/>
        </w:rPr>
        <w:t xml:space="preserve">: PBO staff by function and employment level as at </w:t>
      </w:r>
      <w:r w:rsidR="003C319A">
        <w:rPr>
          <w:rFonts w:asciiTheme="minorHAnsi" w:eastAsiaTheme="minorHAnsi" w:hAnsiTheme="minorHAnsi" w:cstheme="minorBidi"/>
          <w:color w:val="1F497D" w:themeColor="text2"/>
          <w:spacing w:val="-4"/>
          <w:sz w:val="20"/>
          <w:lang w:eastAsia="en-US"/>
        </w:rPr>
        <w:t>30 September</w:t>
      </w:r>
      <w:r w:rsidR="00BB03B4">
        <w:rPr>
          <w:rFonts w:asciiTheme="minorHAnsi" w:eastAsiaTheme="minorHAnsi" w:hAnsiTheme="minorHAnsi" w:cstheme="minorBidi"/>
          <w:color w:val="1F497D" w:themeColor="text2"/>
          <w:spacing w:val="-4"/>
          <w:sz w:val="20"/>
          <w:lang w:eastAsia="en-US"/>
        </w:rPr>
        <w:t xml:space="preserve"> 2016</w:t>
      </w:r>
    </w:p>
    <w:tbl>
      <w:tblPr>
        <w:tblStyle w:val="PBOtable"/>
        <w:tblW w:w="9322" w:type="dxa"/>
        <w:tblLayout w:type="fixed"/>
        <w:tblLook w:val="04A0" w:firstRow="1" w:lastRow="0" w:firstColumn="1" w:lastColumn="0" w:noHBand="0" w:noVBand="1"/>
      </w:tblPr>
      <w:tblGrid>
        <w:gridCol w:w="3510"/>
        <w:gridCol w:w="1162"/>
        <w:gridCol w:w="1162"/>
        <w:gridCol w:w="1163"/>
        <w:gridCol w:w="1162"/>
        <w:gridCol w:w="1163"/>
      </w:tblGrid>
      <w:tr w:rsidR="00743ECF" w:rsidRPr="00743ECF" w:rsidTr="00AD076F">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510" w:type="dxa"/>
            <w:shd w:val="clear" w:color="auto" w:fill="2B3B5F"/>
            <w:noWrap/>
            <w:hideMark/>
          </w:tcPr>
          <w:p w:rsidR="00743ECF" w:rsidRPr="00743ECF" w:rsidRDefault="00743ECF" w:rsidP="00395B9D">
            <w:pPr>
              <w:jc w:val="left"/>
              <w:rPr>
                <w:rFonts w:eastAsia="Times New Roman"/>
                <w:bCs/>
                <w:color w:val="FFFFFF"/>
                <w:szCs w:val="18"/>
              </w:rPr>
            </w:pPr>
            <w:r w:rsidRPr="00743ECF">
              <w:rPr>
                <w:rFonts w:eastAsia="Times New Roman"/>
                <w:bCs/>
                <w:color w:val="FFFFFF"/>
                <w:szCs w:val="18"/>
              </w:rPr>
              <w:t>Classification</w:t>
            </w:r>
          </w:p>
        </w:tc>
        <w:tc>
          <w:tcPr>
            <w:tcW w:w="1162"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PBO Executive</w:t>
            </w:r>
          </w:p>
        </w:tc>
        <w:tc>
          <w:tcPr>
            <w:tcW w:w="1162"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Budget Analysis Division</w:t>
            </w:r>
          </w:p>
        </w:tc>
        <w:tc>
          <w:tcPr>
            <w:tcW w:w="1163"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Fiscal Policy Analysis Division</w:t>
            </w:r>
          </w:p>
        </w:tc>
        <w:tc>
          <w:tcPr>
            <w:tcW w:w="1162"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Corporate Strategy Branch</w:t>
            </w:r>
          </w:p>
        </w:tc>
        <w:tc>
          <w:tcPr>
            <w:tcW w:w="1163" w:type="dxa"/>
            <w:shd w:val="clear" w:color="auto" w:fill="2B3B5F"/>
            <w:hideMark/>
          </w:tcPr>
          <w:p w:rsidR="00743ECF" w:rsidRPr="00743ECF" w:rsidRDefault="00743ECF" w:rsidP="00743ECF">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Total</w:t>
            </w:r>
          </w:p>
        </w:tc>
      </w:tr>
      <w:tr w:rsidR="00743ECF" w:rsidRPr="00743ECF" w:rsidTr="00AD076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743ECF">
            <w:pPr>
              <w:rPr>
                <w:rFonts w:eastAsia="Times New Roman"/>
                <w:b w:val="0"/>
                <w:color w:val="000000"/>
                <w:szCs w:val="18"/>
              </w:rPr>
            </w:pPr>
            <w:r w:rsidRPr="00A01C65">
              <w:rPr>
                <w:rFonts w:eastAsia="Times New Roman"/>
                <w:b w:val="0"/>
                <w:color w:val="000000"/>
                <w:szCs w:val="18"/>
              </w:rPr>
              <w:t>Parliamentary Budget Officer (PBO)</w:t>
            </w:r>
          </w:p>
        </w:tc>
        <w:tc>
          <w:tcPr>
            <w:tcW w:w="1162" w:type="dxa"/>
            <w:noWrap/>
            <w:hideMark/>
          </w:tcPr>
          <w:p w:rsidR="00743ECF" w:rsidRPr="00743ECF" w:rsidRDefault="00596C26" w:rsidP="00596C26">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hideMark/>
          </w:tcPr>
          <w:p w:rsidR="00743ECF" w:rsidRPr="00743ECF" w:rsidRDefault="005C2F9E" w:rsidP="00596C26">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hideMark/>
          </w:tcPr>
          <w:p w:rsidR="00743ECF" w:rsidRPr="00743ECF" w:rsidRDefault="005C2F9E"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hideMark/>
          </w:tcPr>
          <w:p w:rsidR="00743ECF" w:rsidRPr="00743ECF" w:rsidRDefault="005C2F9E"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hideMark/>
          </w:tcPr>
          <w:p w:rsidR="00743ECF" w:rsidRPr="00743ECF" w:rsidRDefault="00596C26" w:rsidP="00596C26">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1</w:t>
            </w:r>
          </w:p>
        </w:tc>
      </w:tr>
      <w:tr w:rsidR="00743ECF" w:rsidRPr="00743ECF" w:rsidTr="00AD076F">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743ECF">
            <w:pPr>
              <w:rPr>
                <w:rFonts w:eastAsia="Times New Roman"/>
                <w:b w:val="0"/>
                <w:color w:val="000000"/>
                <w:szCs w:val="18"/>
              </w:rPr>
            </w:pPr>
            <w:r w:rsidRPr="00A01C65">
              <w:rPr>
                <w:rFonts w:eastAsia="Times New Roman"/>
                <w:b w:val="0"/>
                <w:color w:val="000000"/>
                <w:szCs w:val="18"/>
              </w:rPr>
              <w:t>Senior Executive Service Band 2 (SES B2)</w:t>
            </w:r>
          </w:p>
        </w:tc>
        <w:tc>
          <w:tcPr>
            <w:tcW w:w="1162" w:type="dxa"/>
            <w:noWrap/>
            <w:hideMark/>
          </w:tcPr>
          <w:p w:rsidR="00743ECF" w:rsidRPr="00743ECF" w:rsidRDefault="005C2F9E" w:rsidP="00596C26">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hideMark/>
          </w:tcPr>
          <w:p w:rsidR="00743ECF" w:rsidRPr="00743ECF" w:rsidRDefault="00596C26"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3" w:type="dxa"/>
            <w:noWrap/>
            <w:hideMark/>
          </w:tcPr>
          <w:p w:rsidR="00743ECF" w:rsidRPr="00743ECF" w:rsidRDefault="00596C26"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hideMark/>
          </w:tcPr>
          <w:p w:rsidR="00743ECF" w:rsidRPr="00743ECF" w:rsidRDefault="005C2F9E"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hideMark/>
          </w:tcPr>
          <w:p w:rsidR="00743ECF" w:rsidRPr="00743ECF" w:rsidRDefault="00596C26" w:rsidP="00743ECF">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2</w:t>
            </w:r>
          </w:p>
        </w:tc>
      </w:tr>
      <w:tr w:rsidR="00743ECF" w:rsidRPr="00743ECF" w:rsidTr="00AD076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743ECF">
            <w:pPr>
              <w:rPr>
                <w:rFonts w:eastAsia="Times New Roman"/>
                <w:b w:val="0"/>
                <w:color w:val="000000"/>
                <w:szCs w:val="18"/>
              </w:rPr>
            </w:pPr>
            <w:r w:rsidRPr="00A01C65">
              <w:rPr>
                <w:rFonts w:eastAsia="Times New Roman"/>
                <w:b w:val="0"/>
                <w:color w:val="000000"/>
                <w:szCs w:val="18"/>
              </w:rPr>
              <w:t>Senior Executive Service Band 1 (SES B1)</w:t>
            </w:r>
            <w:r w:rsidR="002250E8" w:rsidRPr="00A01C65">
              <w:rPr>
                <w:rFonts w:eastAsia="Times New Roman"/>
                <w:b w:val="0"/>
                <w:color w:val="000000"/>
                <w:szCs w:val="18"/>
              </w:rPr>
              <w:t xml:space="preserve"> </w:t>
            </w:r>
            <w:r w:rsidR="00E10490" w:rsidRPr="00A01C65">
              <w:rPr>
                <w:rFonts w:eastAsia="Times New Roman"/>
                <w:b w:val="0"/>
                <w:color w:val="000000"/>
                <w:szCs w:val="18"/>
                <w:vertAlign w:val="superscript"/>
              </w:rPr>
              <w:t>1</w:t>
            </w:r>
          </w:p>
        </w:tc>
        <w:tc>
          <w:tcPr>
            <w:tcW w:w="1162" w:type="dxa"/>
            <w:noWrap/>
            <w:hideMark/>
          </w:tcPr>
          <w:p w:rsidR="00743ECF" w:rsidRPr="00743ECF" w:rsidRDefault="005C2F9E" w:rsidP="00596C26">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hideMark/>
          </w:tcPr>
          <w:p w:rsidR="00743ECF" w:rsidRPr="00743ECF" w:rsidRDefault="00AA19A6"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2</w:t>
            </w:r>
          </w:p>
        </w:tc>
        <w:tc>
          <w:tcPr>
            <w:tcW w:w="1163" w:type="dxa"/>
            <w:noWrap/>
            <w:hideMark/>
          </w:tcPr>
          <w:p w:rsidR="00743ECF" w:rsidRPr="00743ECF" w:rsidRDefault="00596C26"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hideMark/>
          </w:tcPr>
          <w:p w:rsidR="00743ECF" w:rsidRPr="00743ECF" w:rsidRDefault="00596C26"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63" w:type="dxa"/>
            <w:noWrap/>
            <w:hideMark/>
          </w:tcPr>
          <w:p w:rsidR="00743ECF" w:rsidRPr="00743ECF" w:rsidRDefault="00AA19A6" w:rsidP="00743ECF">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4</w:t>
            </w:r>
          </w:p>
        </w:tc>
      </w:tr>
      <w:tr w:rsidR="00743ECF" w:rsidRPr="00743ECF" w:rsidTr="00AD076F">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743ECF">
            <w:pPr>
              <w:rPr>
                <w:rFonts w:eastAsia="Times New Roman"/>
                <w:b w:val="0"/>
                <w:color w:val="000000"/>
                <w:szCs w:val="18"/>
              </w:rPr>
            </w:pPr>
            <w:r w:rsidRPr="00A01C65">
              <w:rPr>
                <w:rFonts w:eastAsia="Times New Roman"/>
                <w:b w:val="0"/>
                <w:color w:val="000000"/>
                <w:szCs w:val="18"/>
              </w:rPr>
              <w:t>Parliamentary Executive Level 2 (PEL2)</w:t>
            </w:r>
          </w:p>
        </w:tc>
        <w:tc>
          <w:tcPr>
            <w:tcW w:w="1162" w:type="dxa"/>
            <w:noWrap/>
            <w:hideMark/>
          </w:tcPr>
          <w:p w:rsidR="00743ECF" w:rsidRPr="00743ECF" w:rsidRDefault="005C2F9E" w:rsidP="00596C26">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hideMark/>
          </w:tcPr>
          <w:p w:rsidR="00743ECF" w:rsidRPr="00743ECF" w:rsidRDefault="00AA19A6"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4</w:t>
            </w:r>
          </w:p>
        </w:tc>
        <w:tc>
          <w:tcPr>
            <w:tcW w:w="1163" w:type="dxa"/>
            <w:noWrap/>
            <w:hideMark/>
          </w:tcPr>
          <w:p w:rsidR="00743ECF" w:rsidRPr="00743ECF" w:rsidRDefault="00AD076F"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2</w:t>
            </w:r>
          </w:p>
        </w:tc>
        <w:tc>
          <w:tcPr>
            <w:tcW w:w="1162" w:type="dxa"/>
            <w:noWrap/>
            <w:hideMark/>
          </w:tcPr>
          <w:p w:rsidR="00743ECF" w:rsidRPr="00743ECF" w:rsidRDefault="00191F7C"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2</w:t>
            </w:r>
          </w:p>
        </w:tc>
        <w:tc>
          <w:tcPr>
            <w:tcW w:w="1163" w:type="dxa"/>
            <w:noWrap/>
            <w:hideMark/>
          </w:tcPr>
          <w:p w:rsidR="00743ECF" w:rsidRPr="00743ECF" w:rsidRDefault="00765DF6" w:rsidP="00743ECF">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8</w:t>
            </w:r>
          </w:p>
        </w:tc>
      </w:tr>
      <w:tr w:rsidR="00743ECF" w:rsidRPr="00743ECF" w:rsidTr="00AD076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65278E">
            <w:pPr>
              <w:rPr>
                <w:rFonts w:eastAsia="Times New Roman"/>
                <w:b w:val="0"/>
                <w:color w:val="000000"/>
                <w:szCs w:val="18"/>
              </w:rPr>
            </w:pPr>
            <w:r w:rsidRPr="00A01C65">
              <w:rPr>
                <w:rFonts w:eastAsia="Times New Roman"/>
                <w:b w:val="0"/>
                <w:color w:val="000000"/>
                <w:szCs w:val="18"/>
              </w:rPr>
              <w:t>Parliamentary Executive Level 1 (PEL1)</w:t>
            </w:r>
            <w:r w:rsidR="00AA19A6" w:rsidRPr="00A01C65">
              <w:rPr>
                <w:rFonts w:eastAsia="Times New Roman"/>
                <w:b w:val="0"/>
                <w:color w:val="000000"/>
                <w:szCs w:val="18"/>
              </w:rPr>
              <w:t xml:space="preserve"> </w:t>
            </w:r>
            <w:r w:rsidR="0065278E">
              <w:rPr>
                <w:rFonts w:eastAsia="Times New Roman"/>
                <w:b w:val="0"/>
                <w:color w:val="000000"/>
                <w:szCs w:val="18"/>
                <w:vertAlign w:val="superscript"/>
              </w:rPr>
              <w:t>1</w:t>
            </w:r>
          </w:p>
        </w:tc>
        <w:tc>
          <w:tcPr>
            <w:tcW w:w="1162" w:type="dxa"/>
            <w:noWrap/>
            <w:hideMark/>
          </w:tcPr>
          <w:p w:rsidR="00743ECF" w:rsidRPr="00743ECF" w:rsidRDefault="005C2F9E" w:rsidP="00596C26">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hideMark/>
          </w:tcPr>
          <w:p w:rsidR="00743ECF" w:rsidRPr="00743ECF" w:rsidRDefault="00D45099" w:rsidP="00765DF6">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r w:rsidR="00765DF6">
              <w:rPr>
                <w:rFonts w:eastAsia="Times New Roman"/>
                <w:color w:val="000000"/>
                <w:szCs w:val="18"/>
              </w:rPr>
              <w:t>3</w:t>
            </w:r>
          </w:p>
        </w:tc>
        <w:tc>
          <w:tcPr>
            <w:tcW w:w="1163" w:type="dxa"/>
            <w:noWrap/>
            <w:hideMark/>
          </w:tcPr>
          <w:p w:rsidR="00743ECF" w:rsidRPr="00743ECF" w:rsidRDefault="00191F7C"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4</w:t>
            </w:r>
          </w:p>
        </w:tc>
        <w:tc>
          <w:tcPr>
            <w:tcW w:w="1162" w:type="dxa"/>
            <w:noWrap/>
            <w:hideMark/>
          </w:tcPr>
          <w:p w:rsidR="00743ECF" w:rsidRPr="00743ECF" w:rsidRDefault="00315623"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63" w:type="dxa"/>
            <w:noWrap/>
            <w:hideMark/>
          </w:tcPr>
          <w:p w:rsidR="00743ECF" w:rsidRPr="00743ECF" w:rsidRDefault="00D45099" w:rsidP="00743ECF">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1</w:t>
            </w:r>
            <w:r w:rsidR="00191F7C">
              <w:rPr>
                <w:rFonts w:eastAsia="Times New Roman"/>
                <w:b/>
                <w:bCs/>
                <w:color w:val="000000"/>
                <w:szCs w:val="18"/>
              </w:rPr>
              <w:t>8</w:t>
            </w:r>
          </w:p>
        </w:tc>
      </w:tr>
      <w:tr w:rsidR="00743ECF" w:rsidRPr="00743ECF" w:rsidTr="00AD076F">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743ECF">
            <w:pPr>
              <w:rPr>
                <w:rFonts w:eastAsia="Times New Roman"/>
                <w:b w:val="0"/>
                <w:color w:val="000000"/>
                <w:szCs w:val="18"/>
              </w:rPr>
            </w:pPr>
            <w:r w:rsidRPr="00A01C65">
              <w:rPr>
                <w:rFonts w:eastAsia="Times New Roman"/>
                <w:b w:val="0"/>
                <w:color w:val="000000"/>
                <w:szCs w:val="18"/>
              </w:rPr>
              <w:t>Parliamentary Service Level 6 (PSL6)</w:t>
            </w:r>
          </w:p>
        </w:tc>
        <w:tc>
          <w:tcPr>
            <w:tcW w:w="1162" w:type="dxa"/>
            <w:noWrap/>
            <w:hideMark/>
          </w:tcPr>
          <w:p w:rsidR="00743ECF" w:rsidRPr="00743ECF" w:rsidRDefault="00743ECF" w:rsidP="00596C26">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43ECF">
              <w:rPr>
                <w:rFonts w:eastAsia="Times New Roman"/>
                <w:color w:val="000000"/>
                <w:szCs w:val="18"/>
              </w:rPr>
              <w:t>1</w:t>
            </w:r>
          </w:p>
        </w:tc>
        <w:tc>
          <w:tcPr>
            <w:tcW w:w="1162" w:type="dxa"/>
            <w:noWrap/>
            <w:hideMark/>
          </w:tcPr>
          <w:p w:rsidR="00743ECF" w:rsidRPr="00743ECF" w:rsidRDefault="00765DF6"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7</w:t>
            </w:r>
          </w:p>
        </w:tc>
        <w:tc>
          <w:tcPr>
            <w:tcW w:w="1163" w:type="dxa"/>
            <w:noWrap/>
            <w:hideMark/>
          </w:tcPr>
          <w:p w:rsidR="00743ECF" w:rsidRPr="00743ECF" w:rsidRDefault="002250E8"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2" w:type="dxa"/>
            <w:noWrap/>
            <w:hideMark/>
          </w:tcPr>
          <w:p w:rsidR="00743ECF" w:rsidRPr="00743ECF" w:rsidRDefault="005C2F9E"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hideMark/>
          </w:tcPr>
          <w:p w:rsidR="00743ECF" w:rsidRPr="00743ECF" w:rsidRDefault="00765DF6" w:rsidP="00743ECF">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9</w:t>
            </w:r>
          </w:p>
        </w:tc>
      </w:tr>
      <w:tr w:rsidR="00743ECF" w:rsidRPr="00743ECF" w:rsidTr="00AD076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AA19A6">
            <w:pPr>
              <w:rPr>
                <w:rFonts w:eastAsia="Times New Roman"/>
                <w:b w:val="0"/>
                <w:color w:val="000000"/>
                <w:szCs w:val="18"/>
              </w:rPr>
            </w:pPr>
            <w:r w:rsidRPr="00A01C65">
              <w:rPr>
                <w:rFonts w:eastAsia="Times New Roman"/>
                <w:b w:val="0"/>
                <w:color w:val="000000"/>
                <w:szCs w:val="18"/>
              </w:rPr>
              <w:t>Parliamentary Service Level 5 (PSL5)</w:t>
            </w:r>
            <w:r w:rsidR="002250E8" w:rsidRPr="00A01C65">
              <w:rPr>
                <w:rFonts w:eastAsia="Times New Roman"/>
                <w:b w:val="0"/>
                <w:color w:val="000000"/>
                <w:szCs w:val="18"/>
              </w:rPr>
              <w:t xml:space="preserve"> </w:t>
            </w:r>
          </w:p>
        </w:tc>
        <w:tc>
          <w:tcPr>
            <w:tcW w:w="1162" w:type="dxa"/>
            <w:noWrap/>
            <w:hideMark/>
          </w:tcPr>
          <w:p w:rsidR="00743ECF" w:rsidRPr="00743ECF" w:rsidRDefault="005C2F9E" w:rsidP="00596C26">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hideMark/>
          </w:tcPr>
          <w:p w:rsidR="00743ECF" w:rsidRPr="00743ECF" w:rsidRDefault="00765DF6"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hideMark/>
          </w:tcPr>
          <w:p w:rsidR="00743ECF" w:rsidRPr="00743ECF" w:rsidRDefault="005C2F9E"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hideMark/>
          </w:tcPr>
          <w:p w:rsidR="00743ECF" w:rsidRPr="00743ECF" w:rsidRDefault="005323C2" w:rsidP="00743ECF">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2</w:t>
            </w:r>
          </w:p>
        </w:tc>
        <w:tc>
          <w:tcPr>
            <w:tcW w:w="1163" w:type="dxa"/>
            <w:noWrap/>
            <w:hideMark/>
          </w:tcPr>
          <w:p w:rsidR="00743ECF" w:rsidRPr="00743ECF" w:rsidRDefault="00191F7C" w:rsidP="009C4260">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2</w:t>
            </w:r>
          </w:p>
        </w:tc>
      </w:tr>
      <w:tr w:rsidR="00743ECF" w:rsidRPr="00743ECF" w:rsidTr="00AD076F">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A01C65" w:rsidRDefault="00743ECF" w:rsidP="00743ECF">
            <w:pPr>
              <w:rPr>
                <w:rFonts w:eastAsia="Times New Roman"/>
                <w:b w:val="0"/>
                <w:color w:val="000000"/>
                <w:szCs w:val="18"/>
              </w:rPr>
            </w:pPr>
            <w:r w:rsidRPr="00A01C65">
              <w:rPr>
                <w:rFonts w:eastAsia="Times New Roman"/>
                <w:b w:val="0"/>
                <w:color w:val="000000"/>
                <w:szCs w:val="18"/>
              </w:rPr>
              <w:t xml:space="preserve">Parliamentary Service Level 4 (PSL4) </w:t>
            </w:r>
          </w:p>
        </w:tc>
        <w:tc>
          <w:tcPr>
            <w:tcW w:w="1162" w:type="dxa"/>
            <w:noWrap/>
            <w:hideMark/>
          </w:tcPr>
          <w:p w:rsidR="00743ECF" w:rsidRPr="00743ECF" w:rsidRDefault="005C2F9E" w:rsidP="00596C26">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hideMark/>
          </w:tcPr>
          <w:p w:rsidR="00743ECF" w:rsidRPr="00743ECF" w:rsidRDefault="00DF36E2" w:rsidP="005323C2">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3" w:type="dxa"/>
            <w:noWrap/>
            <w:hideMark/>
          </w:tcPr>
          <w:p w:rsidR="00743ECF" w:rsidRPr="00743ECF" w:rsidRDefault="005C2F9E"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62" w:type="dxa"/>
            <w:noWrap/>
            <w:hideMark/>
          </w:tcPr>
          <w:p w:rsidR="00743ECF" w:rsidRPr="00743ECF" w:rsidRDefault="002250E8" w:rsidP="00743E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63" w:type="dxa"/>
            <w:noWrap/>
            <w:hideMark/>
          </w:tcPr>
          <w:p w:rsidR="00743ECF" w:rsidRPr="00743ECF" w:rsidRDefault="00AD2887" w:rsidP="00743ECF">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1</w:t>
            </w:r>
          </w:p>
        </w:tc>
      </w:tr>
      <w:tr w:rsidR="00743ECF" w:rsidRPr="00743ECF" w:rsidTr="00AD076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510" w:type="dxa"/>
            <w:noWrap/>
            <w:hideMark/>
          </w:tcPr>
          <w:p w:rsidR="00743ECF" w:rsidRPr="00743ECF" w:rsidRDefault="00743ECF" w:rsidP="0065278E">
            <w:pPr>
              <w:rPr>
                <w:rFonts w:eastAsia="Times New Roman"/>
                <w:bCs/>
                <w:color w:val="000000"/>
                <w:szCs w:val="18"/>
              </w:rPr>
            </w:pPr>
            <w:r w:rsidRPr="00743ECF">
              <w:rPr>
                <w:rFonts w:eastAsia="Times New Roman"/>
                <w:bCs/>
                <w:color w:val="000000"/>
                <w:szCs w:val="18"/>
              </w:rPr>
              <w:t xml:space="preserve">Total </w:t>
            </w:r>
            <w:r w:rsidR="00A62104">
              <w:rPr>
                <w:rFonts w:eastAsia="Times New Roman"/>
                <w:bCs/>
                <w:color w:val="000000"/>
                <w:szCs w:val="18"/>
              </w:rPr>
              <w:t>s</w:t>
            </w:r>
            <w:r w:rsidRPr="00743ECF">
              <w:rPr>
                <w:rFonts w:eastAsia="Times New Roman"/>
                <w:bCs/>
                <w:color w:val="000000"/>
                <w:szCs w:val="18"/>
              </w:rPr>
              <w:t>taff</w:t>
            </w:r>
            <w:r w:rsidR="0065278E" w:rsidRPr="00A01C65">
              <w:rPr>
                <w:rFonts w:eastAsia="Times New Roman"/>
                <w:b w:val="0"/>
                <w:color w:val="000000"/>
                <w:szCs w:val="18"/>
              </w:rPr>
              <w:t xml:space="preserve"> </w:t>
            </w:r>
            <w:r w:rsidR="0065278E">
              <w:rPr>
                <w:rFonts w:eastAsia="Times New Roman"/>
                <w:b w:val="0"/>
                <w:color w:val="000000"/>
                <w:szCs w:val="18"/>
                <w:vertAlign w:val="superscript"/>
              </w:rPr>
              <w:t>2</w:t>
            </w:r>
          </w:p>
        </w:tc>
        <w:tc>
          <w:tcPr>
            <w:tcW w:w="1162" w:type="dxa"/>
            <w:noWrap/>
            <w:hideMark/>
          </w:tcPr>
          <w:p w:rsidR="00743ECF" w:rsidRPr="00743ECF" w:rsidRDefault="00743ECF" w:rsidP="00596C26">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sidRPr="00743ECF">
              <w:rPr>
                <w:rFonts w:eastAsia="Times New Roman"/>
                <w:b/>
                <w:bCs/>
                <w:color w:val="000000"/>
                <w:szCs w:val="18"/>
              </w:rPr>
              <w:t>2</w:t>
            </w:r>
          </w:p>
        </w:tc>
        <w:tc>
          <w:tcPr>
            <w:tcW w:w="1162" w:type="dxa"/>
            <w:noWrap/>
            <w:hideMark/>
          </w:tcPr>
          <w:p w:rsidR="00743ECF" w:rsidRPr="00743ECF" w:rsidRDefault="00D45099" w:rsidP="005323C2">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2</w:t>
            </w:r>
            <w:r w:rsidR="00AD2887">
              <w:rPr>
                <w:rFonts w:eastAsia="Times New Roman"/>
                <w:b/>
                <w:bCs/>
                <w:color w:val="000000"/>
                <w:szCs w:val="18"/>
              </w:rPr>
              <w:t>7</w:t>
            </w:r>
          </w:p>
        </w:tc>
        <w:tc>
          <w:tcPr>
            <w:tcW w:w="1163" w:type="dxa"/>
            <w:noWrap/>
            <w:hideMark/>
          </w:tcPr>
          <w:p w:rsidR="00743ECF" w:rsidRPr="00596C26" w:rsidRDefault="005323C2" w:rsidP="005323C2">
            <w:pPr>
              <w:cnfStyle w:val="000000100000" w:firstRow="0" w:lastRow="0" w:firstColumn="0" w:lastColumn="0" w:oddVBand="0" w:evenVBand="0" w:oddHBand="1" w:evenHBand="0" w:firstRowFirstColumn="0" w:firstRowLastColumn="0" w:lastRowFirstColumn="0" w:lastRowLastColumn="0"/>
              <w:rPr>
                <w:rFonts w:eastAsia="Times New Roman"/>
                <w:b/>
                <w:color w:val="000000"/>
                <w:szCs w:val="18"/>
              </w:rPr>
            </w:pPr>
            <w:r>
              <w:rPr>
                <w:rFonts w:eastAsia="Times New Roman"/>
                <w:b/>
                <w:color w:val="000000"/>
                <w:szCs w:val="18"/>
              </w:rPr>
              <w:t>9</w:t>
            </w:r>
          </w:p>
        </w:tc>
        <w:tc>
          <w:tcPr>
            <w:tcW w:w="1162" w:type="dxa"/>
            <w:noWrap/>
            <w:hideMark/>
          </w:tcPr>
          <w:p w:rsidR="00743ECF" w:rsidRPr="00743ECF" w:rsidRDefault="00427B34" w:rsidP="009C4260">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7</w:t>
            </w:r>
          </w:p>
        </w:tc>
        <w:tc>
          <w:tcPr>
            <w:tcW w:w="1163" w:type="dxa"/>
            <w:noWrap/>
            <w:hideMark/>
          </w:tcPr>
          <w:p w:rsidR="00743ECF" w:rsidRPr="00743ECF" w:rsidRDefault="00191F7C" w:rsidP="00AD2887">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4</w:t>
            </w:r>
            <w:r w:rsidR="00AD2887">
              <w:rPr>
                <w:rFonts w:eastAsia="Times New Roman"/>
                <w:b/>
                <w:bCs/>
                <w:color w:val="000000"/>
                <w:szCs w:val="18"/>
              </w:rPr>
              <w:t>5</w:t>
            </w:r>
          </w:p>
        </w:tc>
      </w:tr>
    </w:tbl>
    <w:p w:rsidR="009B39C1" w:rsidRDefault="007C1434" w:rsidP="00532111">
      <w:pPr>
        <w:pStyle w:val="PBOtext"/>
        <w:tabs>
          <w:tab w:val="left" w:pos="142"/>
        </w:tabs>
        <w:rPr>
          <w:rFonts w:asciiTheme="minorHAnsi" w:eastAsiaTheme="minorHAnsi" w:hAnsiTheme="minorHAnsi" w:cstheme="minorBidi"/>
          <w:color w:val="1F497D" w:themeColor="text2"/>
          <w:spacing w:val="-4"/>
          <w:sz w:val="20"/>
          <w:lang w:eastAsia="en-US"/>
        </w:rPr>
      </w:pPr>
      <w:r>
        <w:rPr>
          <w:sz w:val="16"/>
          <w:szCs w:val="16"/>
          <w:vertAlign w:val="superscript"/>
        </w:rPr>
        <w:t>1</w:t>
      </w:r>
      <w:r w:rsidR="009837E2">
        <w:rPr>
          <w:sz w:val="16"/>
          <w:szCs w:val="16"/>
        </w:rPr>
        <w:tab/>
      </w:r>
      <w:r w:rsidR="00543268" w:rsidRPr="00543268">
        <w:rPr>
          <w:sz w:val="16"/>
          <w:szCs w:val="16"/>
        </w:rPr>
        <w:t xml:space="preserve">One ongoing SES B1 </w:t>
      </w:r>
      <w:r w:rsidR="005323C2">
        <w:rPr>
          <w:sz w:val="16"/>
          <w:szCs w:val="16"/>
        </w:rPr>
        <w:t xml:space="preserve">and </w:t>
      </w:r>
      <w:r w:rsidR="000B6429">
        <w:rPr>
          <w:sz w:val="16"/>
          <w:szCs w:val="16"/>
        </w:rPr>
        <w:t>two</w:t>
      </w:r>
      <w:r w:rsidR="005323C2">
        <w:rPr>
          <w:sz w:val="16"/>
          <w:szCs w:val="16"/>
        </w:rPr>
        <w:t xml:space="preserve"> ongoing PEL1 </w:t>
      </w:r>
      <w:r w:rsidR="005B325D">
        <w:rPr>
          <w:sz w:val="16"/>
          <w:szCs w:val="16"/>
        </w:rPr>
        <w:t xml:space="preserve">employees </w:t>
      </w:r>
      <w:r w:rsidR="005323C2">
        <w:rPr>
          <w:sz w:val="16"/>
          <w:szCs w:val="16"/>
        </w:rPr>
        <w:t>are</w:t>
      </w:r>
      <w:r w:rsidR="00543268" w:rsidRPr="00543268">
        <w:rPr>
          <w:sz w:val="16"/>
          <w:szCs w:val="16"/>
        </w:rPr>
        <w:t xml:space="preserve"> on long term leave without pay and </w:t>
      </w:r>
      <w:r w:rsidR="005323C2">
        <w:rPr>
          <w:sz w:val="16"/>
          <w:szCs w:val="16"/>
        </w:rPr>
        <w:t>are</w:t>
      </w:r>
      <w:r w:rsidR="005323C2" w:rsidRPr="00543268">
        <w:rPr>
          <w:sz w:val="16"/>
          <w:szCs w:val="16"/>
        </w:rPr>
        <w:t xml:space="preserve"> </w:t>
      </w:r>
      <w:r w:rsidR="00543268" w:rsidRPr="00543268">
        <w:rPr>
          <w:sz w:val="16"/>
          <w:szCs w:val="16"/>
        </w:rPr>
        <w:t>not included in these totals.</w:t>
      </w:r>
      <w:r w:rsidR="00DE0A52">
        <w:rPr>
          <w:sz w:val="16"/>
          <w:szCs w:val="16"/>
        </w:rPr>
        <w:br/>
      </w:r>
      <w:r w:rsidR="005323C2">
        <w:rPr>
          <w:sz w:val="16"/>
          <w:szCs w:val="16"/>
        </w:rPr>
        <w:t>In addition</w:t>
      </w:r>
      <w:r w:rsidR="005B325D">
        <w:rPr>
          <w:sz w:val="16"/>
          <w:szCs w:val="16"/>
        </w:rPr>
        <w:t>,</w:t>
      </w:r>
      <w:r w:rsidR="005323C2">
        <w:rPr>
          <w:sz w:val="16"/>
          <w:szCs w:val="16"/>
        </w:rPr>
        <w:t xml:space="preserve"> one </w:t>
      </w:r>
      <w:r w:rsidR="005B325D">
        <w:rPr>
          <w:sz w:val="16"/>
          <w:szCs w:val="16"/>
        </w:rPr>
        <w:t>PEL1</w:t>
      </w:r>
      <w:r w:rsidR="005323C2">
        <w:rPr>
          <w:sz w:val="16"/>
          <w:szCs w:val="16"/>
        </w:rPr>
        <w:t xml:space="preserve">employee </w:t>
      </w:r>
      <w:r w:rsidR="00EC09B2">
        <w:rPr>
          <w:sz w:val="16"/>
          <w:szCs w:val="16"/>
        </w:rPr>
        <w:t xml:space="preserve">is on </w:t>
      </w:r>
      <w:r w:rsidR="005323C2">
        <w:rPr>
          <w:sz w:val="16"/>
          <w:szCs w:val="16"/>
        </w:rPr>
        <w:t>second</w:t>
      </w:r>
      <w:r w:rsidR="00EC09B2">
        <w:rPr>
          <w:sz w:val="16"/>
          <w:szCs w:val="16"/>
        </w:rPr>
        <w:t>ment</w:t>
      </w:r>
      <w:r w:rsidR="00AD2887">
        <w:rPr>
          <w:sz w:val="16"/>
          <w:szCs w:val="16"/>
        </w:rPr>
        <w:t xml:space="preserve"> to </w:t>
      </w:r>
      <w:r w:rsidR="005323C2">
        <w:rPr>
          <w:sz w:val="16"/>
          <w:szCs w:val="16"/>
        </w:rPr>
        <w:t>the Australian Taxation Office</w:t>
      </w:r>
      <w:r w:rsidR="00EC09B2">
        <w:rPr>
          <w:sz w:val="16"/>
          <w:szCs w:val="16"/>
        </w:rPr>
        <w:t xml:space="preserve"> and is not included in the above totals</w:t>
      </w:r>
      <w:r w:rsidR="00AD2887">
        <w:rPr>
          <w:sz w:val="16"/>
          <w:szCs w:val="16"/>
        </w:rPr>
        <w:t>.</w:t>
      </w:r>
    </w:p>
    <w:p w:rsidR="00F36BEB" w:rsidRDefault="00F36BEB" w:rsidP="003553BD">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4: PBO staff by function and employment level</w:t>
      </w:r>
      <w:r w:rsidR="005D002A">
        <w:rPr>
          <w:rFonts w:asciiTheme="minorHAnsi" w:eastAsiaTheme="minorHAnsi" w:hAnsiTheme="minorHAnsi" w:cstheme="minorBidi"/>
          <w:color w:val="1F497D" w:themeColor="text2"/>
          <w:spacing w:val="-4"/>
          <w:sz w:val="20"/>
          <w:lang w:eastAsia="en-US"/>
        </w:rPr>
        <w:t xml:space="preserve"> as at </w:t>
      </w:r>
      <w:r w:rsidR="003C319A">
        <w:rPr>
          <w:rFonts w:asciiTheme="minorHAnsi" w:eastAsiaTheme="minorHAnsi" w:hAnsiTheme="minorHAnsi" w:cstheme="minorBidi"/>
          <w:color w:val="1F497D" w:themeColor="text2"/>
          <w:spacing w:val="-4"/>
          <w:sz w:val="20"/>
          <w:lang w:eastAsia="en-US"/>
        </w:rPr>
        <w:t>30 September</w:t>
      </w:r>
      <w:r w:rsidR="00BB03B4">
        <w:rPr>
          <w:rFonts w:asciiTheme="minorHAnsi" w:eastAsiaTheme="minorHAnsi" w:hAnsiTheme="minorHAnsi" w:cstheme="minorBidi"/>
          <w:color w:val="1F497D" w:themeColor="text2"/>
          <w:spacing w:val="-4"/>
          <w:sz w:val="20"/>
          <w:lang w:eastAsia="en-US"/>
        </w:rPr>
        <w:t xml:space="preserve"> 2016</w:t>
      </w:r>
    </w:p>
    <w:p w:rsidR="00315623" w:rsidRDefault="009B39C1" w:rsidP="003672D5">
      <w:pPr>
        <w:rPr>
          <w:lang w:eastAsia="en-AU"/>
        </w:rPr>
      </w:pPr>
      <w:r>
        <w:rPr>
          <w:noProof/>
          <w:lang w:eastAsia="en-AU"/>
        </w:rPr>
        <w:drawing>
          <wp:inline distT="0" distB="0" distL="0" distR="0" wp14:anchorId="029745E0" wp14:editId="00604765">
            <wp:extent cx="5772647" cy="3943847"/>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315623" w:rsidSect="00A734A7">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57B" w:rsidRDefault="0038557B" w:rsidP="00770BB2">
      <w:pPr>
        <w:spacing w:after="0"/>
      </w:pPr>
      <w:r>
        <w:separator/>
      </w:r>
    </w:p>
  </w:endnote>
  <w:endnote w:type="continuationSeparator" w:id="0">
    <w:p w:rsidR="0038557B" w:rsidRDefault="0038557B"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E3" w:rsidRPr="00201F77" w:rsidRDefault="007432E3" w:rsidP="00201F77">
    <w:pPr>
      <w:pStyle w:val="Footer"/>
      <w:pBdr>
        <w:top w:val="single" w:sz="4" w:space="0"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8480" behindDoc="0" locked="0" layoutInCell="1" allowOverlap="1" wp14:anchorId="4689B5D2" wp14:editId="2C110438">
              <wp:simplePos x="0" y="0"/>
              <wp:positionH relativeFrom="column">
                <wp:posOffset>4523196</wp:posOffset>
              </wp:positionH>
              <wp:positionV relativeFrom="paragraph">
                <wp:posOffset>-40005</wp:posOffset>
              </wp:positionV>
              <wp:extent cx="1323975" cy="2952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2E3" w:rsidRPr="00F36BEB" w:rsidRDefault="007432E3" w:rsidP="005C2F9E">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691195">
                            <w:rPr>
                              <w:rFonts w:asciiTheme="minorHAnsi" w:hAnsiTheme="minorHAnsi"/>
                              <w:bCs/>
                              <w:noProof/>
                              <w:sz w:val="18"/>
                              <w:szCs w:val="18"/>
                            </w:rPr>
                            <w:t>4</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691195">
                            <w:rPr>
                              <w:rFonts w:asciiTheme="minorHAnsi" w:hAnsiTheme="minorHAnsi"/>
                              <w:bCs/>
                              <w:noProof/>
                              <w:sz w:val="18"/>
                              <w:szCs w:val="18"/>
                            </w:rPr>
                            <w:t>8</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56.15pt;margin-top:-3.15pt;width:104.2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WfAIAAGIFAAAOAAAAZHJzL2Uyb0RvYy54bWysVN9P2zAQfp+0/8Hy+0hbKNCKFHUgpkkI&#10;0GDi2XVsGs32efa1SffX7+wkpWJ7YdpLcvZ99/l+X1y21rCtCrEGV/Lx0Ygz5SRUtXsp+fenm0/n&#10;nEUUrhIGnCr5TkV+ufj44aLxczWBNZhKBUYkLs4bX/I1op8XRZRrZUU8Aq8cKTUEK5CO4aWogmiI&#10;3ZpiMhqdFg2EygeQKka6ve6UfJH5tVYS77WOCpkpOfmG+Rvyd5W+xeJCzF+C8Ota9m6If/DCitrR&#10;o3uqa4GCbUL9B5WtZYAIGo8k2AK0rqXKMVA049GbaB7XwqscCyUn+n2a4v+jlXfbh8DqquRUKCcs&#10;lehJtcg+Q8vOU3YaH+cEevQEw5auqcrDfaTLFHSrg01/CoeRnvK82+c2kclkdDw5np1NOZOkm8ym&#10;E5KJvni19iHiFwWWJaHkgWqXUyq2txE76ABJjzm4qY3J9TOONSU/PZ6OssFeQ+TGJazKndDTpIg6&#10;z7OEO6MSxrhvSlMmcgDpIvegujKBbQV1j5BSOcyxZ15CJ5QmJ95j2ONfvXqPcRfH8DI43Bvb2kHI&#10;0b9xu/oxuKw7POX8IO4kYrtq+0qvoNpRoQN0gxK9vKmpGrci4oMINBlUW5p2vKePNkBZh17ibA3h&#10;19/uE54alrScNTRpJY8/NyIozsxXR608G5+cpNHMh5Pp2YQO4VCzOtS4jb0CKseY9oqXWUx4NIOo&#10;A9hnWgrL9CqphJP0dslxEK+wm39aKlItlxlEw+gF3rpHLxN1qk7qtaf2WQTfNyRSK9/BMJNi/qYv&#10;O2yydLDcIOg6N21KcJfVPvE0yLnt+6WTNsXhOaNeV+PiNwAAAP//AwBQSwMEFAAGAAgAAAAhAHDJ&#10;LarhAAAACQEAAA8AAABkcnMvZG93bnJldi54bWxMj8FOwzAMhu9IvENkJG5bsgBj65pOU6UJCcFh&#10;YxduaZO1FYlTmmwrPD3mBCfL8qff35+vR+/Y2Q6xC6hgNhXALNbBdNgoOLxtJwtgMWk02gW0Cr5s&#10;hHVxfZXrzIQL7ux5nxpGIRgzraBNqc84j3VrvY7T0Fuk2zEMXidah4abQV8o3DsuhZhzrzukD63u&#10;bdna+mN/8gqey+2r3lXSL75d+fRy3PSfh/cHpW5vxs0KWLJj+oPhV5/UoSCnKpzQROYUPM7kHaEK&#10;JnOaBCyloC6VgnshgRc5/9+g+AEAAP//AwBQSwECLQAUAAYACAAAACEAtoM4kv4AAADhAQAAEwAA&#10;AAAAAAAAAAAAAAAAAAAAW0NvbnRlbnRfVHlwZXNdLnhtbFBLAQItABQABgAIAAAAIQA4/SH/1gAA&#10;AJQBAAALAAAAAAAAAAAAAAAAAC8BAABfcmVscy8ucmVsc1BLAQItABQABgAIAAAAIQBCpM/WfAIA&#10;AGIFAAAOAAAAAAAAAAAAAAAAAC4CAABkcnMvZTJvRG9jLnhtbFBLAQItABQABgAIAAAAIQBwyS2q&#10;4QAAAAkBAAAPAAAAAAAAAAAAAAAAANYEAABkcnMvZG93bnJldi54bWxQSwUGAAAAAAQABADzAAAA&#10;5AUAAAAA&#10;" filled="f" stroked="f" strokeweight=".5pt">
              <v:textbox>
                <w:txbxContent>
                  <w:p w:rsidR="007432E3" w:rsidRPr="00F36BEB" w:rsidRDefault="007432E3" w:rsidP="005C2F9E">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691195">
                      <w:rPr>
                        <w:rFonts w:asciiTheme="minorHAnsi" w:hAnsiTheme="minorHAnsi"/>
                        <w:bCs/>
                        <w:noProof/>
                        <w:sz w:val="18"/>
                        <w:szCs w:val="18"/>
                      </w:rPr>
                      <w:t>4</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691195">
                      <w:rPr>
                        <w:rFonts w:asciiTheme="minorHAnsi" w:hAnsiTheme="minorHAnsi"/>
                        <w:bCs/>
                        <w:noProof/>
                        <w:sz w:val="18"/>
                        <w:szCs w:val="18"/>
                      </w:rPr>
                      <w:t>8</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 xml:space="preserve">PBO activity report – </w:t>
    </w:r>
    <w:r w:rsidR="00240CB2">
      <w:rPr>
        <w:rFonts w:asciiTheme="minorHAnsi" w:hAnsiTheme="minorHAnsi"/>
        <w:sz w:val="18"/>
        <w:szCs w:val="18"/>
      </w:rPr>
      <w:t>1</w:t>
    </w:r>
    <w:r w:rsidR="00A82FFF">
      <w:rPr>
        <w:rFonts w:asciiTheme="minorHAnsi" w:hAnsiTheme="minorHAnsi"/>
        <w:sz w:val="18"/>
        <w:szCs w:val="18"/>
      </w:rPr>
      <w:t>2</w:t>
    </w:r>
    <w:r w:rsidR="00794A2E">
      <w:rPr>
        <w:rFonts w:asciiTheme="minorHAnsi" w:hAnsiTheme="minorHAnsi"/>
        <w:sz w:val="18"/>
        <w:szCs w:val="18"/>
      </w:rPr>
      <w:t xml:space="preserve"> </w:t>
    </w:r>
    <w:r w:rsidR="00240CB2">
      <w:rPr>
        <w:rFonts w:asciiTheme="minorHAnsi" w:hAnsiTheme="minorHAnsi"/>
        <w:sz w:val="18"/>
        <w:szCs w:val="18"/>
      </w:rPr>
      <w:t>October</w:t>
    </w:r>
    <w:r w:rsidR="00BE0BBB">
      <w:rPr>
        <w:rFonts w:asciiTheme="minorHAnsi" w:hAnsiTheme="minorHAnsi"/>
        <w:sz w:val="18"/>
        <w:szCs w:val="18"/>
      </w:rPr>
      <w:t xml:space="preserve"> </w:t>
    </w:r>
    <w:r>
      <w:rPr>
        <w:rFonts w:asciiTheme="minorHAnsi" w:hAnsiTheme="minorHAnsi"/>
        <w:sz w:val="18"/>
        <w:szCs w:val="18"/>
      </w:rPr>
      <w:t>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E3" w:rsidRPr="00F36BEB" w:rsidRDefault="007432E3"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7456" behindDoc="0" locked="0" layoutInCell="1" allowOverlap="1" wp14:anchorId="27874664" wp14:editId="0BA42FA4">
              <wp:simplePos x="0" y="0"/>
              <wp:positionH relativeFrom="column">
                <wp:posOffset>7649936</wp:posOffset>
              </wp:positionH>
              <wp:positionV relativeFrom="paragraph">
                <wp:posOffset>-40005</wp:posOffset>
              </wp:positionV>
              <wp:extent cx="1323975" cy="2952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2E3" w:rsidRPr="00F36BEB" w:rsidRDefault="007432E3"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691195">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691195">
                            <w:rPr>
                              <w:rFonts w:asciiTheme="minorHAnsi" w:hAnsiTheme="minorHAnsi"/>
                              <w:bCs/>
                              <w:noProof/>
                              <w:sz w:val="18"/>
                              <w:szCs w:val="18"/>
                            </w:rPr>
                            <w:t>7</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02.35pt;margin-top:-3.15pt;width:104.2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RvfwIAAGsFAAAOAAAAZHJzL2Uyb0RvYy54bWysVE1PGzEQvVfqf7B8L5sEQkvEBqUgqkoI&#10;UKHi7HhtsqrX49pOsumv77N3N0S0F6pedsczb8bz8cbnF21j2Eb5UJMt+fhoxJmykqraPpf8++P1&#10;h0+chShsJQxZVfKdCvxi/v7d+dbN1IRWZCrlGYLYMNu6kq9idLOiCHKlGhGOyCkLoybfiIijfy4q&#10;L7aI3phiMhqdFlvylfMkVQjQXnVGPs/xtVYy3mkdVGSm5Mgt5q/P32X6FvNzMXv2wq1q2ach/iGL&#10;RtQWl+5DXYko2NrXf4RqaukpkI5HkpqCtK6lyjWgmvHoVTUPK+FUrgXNCW7fpvD/wsrbzb1ndYXZ&#10;jTmzosGMHlUb2WdqGVToz9aFGWAPDsDYQg/soA9QprJb7Zv0R0EMdnR6t+9uiiaT0/Hk+OzjlDMJ&#10;2+RsOoGM8MWLt/MhflHUsCSU3GN6ualicxNiBx0g6TJL17UxeYLGsm3JT4+no+ywtyC4sQmrMhf6&#10;MKmiLvMsxZ1RCWPsN6XRi1xAUmQWqkvj2UaAP0JKZWOuPccFOqE0kniLY49/yeotzl0dw81k4965&#10;qS35XP2rtKsfQ8q6w6PnB3UnMbbLtiPBMNglVTvM21O3McHJ6xpDuREh3guPFcGIsfbxDh9tCM2n&#10;XuJsRf7X3/QJD+bCytkWK1fy8HMtvOLMfLXg9Nn45CTtaD6cTD9OcPCHluWhxa6bS8JUQFtkl8WE&#10;j2YQtafmCa/DIt0Kk7ASd5c8DuJl7B4CvC5SLRYZhK10It7YBydT6DSkRLnH9kl41/MygtG3NCyn&#10;mL2iZ4dNnpYW60i6ztxNfe662vcfG53Z378+6ck4PGfUyxs5/w0AAP//AwBQSwMEFAAGAAgAAAAh&#10;AM4EJrfiAAAACwEAAA8AAABkcnMvZG93bnJldi54bWxMj8FuwjAQRO+V+g/WVuoNbExKUYiDUCRU&#10;qWoPUC7cNvGSRI3tNDaQ9utrTu1xtE8zb7P1aDp2ocG3ziqYTQUwspXTra0VHD62kyUwH9Bq7Jwl&#10;Bd/kYZ3f32WYane1O7rsQ81iifUpKmhC6FPOfdWQQT91Pdl4O7nBYIhxqLke8BrLTcelEAtusLVx&#10;ocGeioaqz/3ZKHgttu+4K6VZ/nTFy9tp038djk9KPT6MmxWwQGP4g+GmH9Uhj06lO1vtWRezFMlz&#10;ZBVMFnNgNyKZzSWwUkEiJPA84/9/yH8BAAD//wMAUEsBAi0AFAAGAAgAAAAhALaDOJL+AAAA4QEA&#10;ABMAAAAAAAAAAAAAAAAAAAAAAFtDb250ZW50X1R5cGVzXS54bWxQSwECLQAUAAYACAAAACEAOP0h&#10;/9YAAACUAQAACwAAAAAAAAAAAAAAAAAvAQAAX3JlbHMvLnJlbHNQSwECLQAUAAYACAAAACEAdANk&#10;b38CAABrBQAADgAAAAAAAAAAAAAAAAAuAgAAZHJzL2Uyb0RvYy54bWxQSwECLQAUAAYACAAAACEA&#10;zgQmt+IAAAALAQAADwAAAAAAAAAAAAAAAADZBAAAZHJzL2Rvd25yZXYueG1sUEsFBgAAAAAEAAQA&#10;8wAAAOgFAAAAAA==&#10;" filled="f" stroked="f" strokeweight=".5pt">
              <v:textbox>
                <w:txbxContent>
                  <w:p w:rsidR="007432E3" w:rsidRPr="00F36BEB" w:rsidRDefault="007432E3"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691195">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691195">
                      <w:rPr>
                        <w:rFonts w:asciiTheme="minorHAnsi" w:hAnsiTheme="minorHAnsi"/>
                        <w:bCs/>
                        <w:noProof/>
                        <w:sz w:val="18"/>
                        <w:szCs w:val="18"/>
                      </w:rPr>
                      <w:t>7</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 xml:space="preserve">PBO activity report – </w:t>
    </w:r>
    <w:r w:rsidR="00EC09B2">
      <w:rPr>
        <w:rFonts w:asciiTheme="minorHAnsi" w:hAnsiTheme="minorHAnsi"/>
        <w:sz w:val="18"/>
        <w:szCs w:val="18"/>
      </w:rPr>
      <w:t>12 October</w:t>
    </w:r>
    <w:r>
      <w:rPr>
        <w:rFonts w:asciiTheme="minorHAnsi" w:hAnsiTheme="minorHAnsi"/>
        <w:sz w:val="18"/>
        <w:szCs w:val="18"/>
      </w:rPr>
      <w:t xml:space="preserv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76" w:rsidRPr="00F36BEB" w:rsidRDefault="00927976"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5408" behindDoc="0" locked="0" layoutInCell="1" allowOverlap="1" wp14:anchorId="204FBCC5" wp14:editId="2E099C92">
              <wp:simplePos x="0" y="0"/>
              <wp:positionH relativeFrom="column">
                <wp:posOffset>4524284</wp:posOffset>
              </wp:positionH>
              <wp:positionV relativeFrom="paragraph">
                <wp:posOffset>-40005</wp:posOffset>
              </wp:positionV>
              <wp:extent cx="1323975"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7976" w:rsidRPr="00F36BEB" w:rsidRDefault="00927976"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691195">
                            <w:rPr>
                              <w:rFonts w:asciiTheme="minorHAnsi" w:hAnsiTheme="minorHAnsi"/>
                              <w:bCs/>
                              <w:noProof/>
                              <w:sz w:val="18"/>
                              <w:szCs w:val="18"/>
                            </w:rPr>
                            <w:t>8</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691195">
                            <w:rPr>
                              <w:rFonts w:asciiTheme="minorHAnsi" w:hAnsiTheme="minorHAnsi"/>
                              <w:bCs/>
                              <w:noProof/>
                              <w:sz w:val="18"/>
                              <w:szCs w:val="18"/>
                            </w:rPr>
                            <w:t>8</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56.25pt;margin-top:-3.15pt;width:104.2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pcfwIAAGsFAAAOAAAAZHJzL2Uyb0RvYy54bWysVF9v2jAQf5+072D5fQRSaFfUUDEqpkmo&#10;rVamPhvHLtFsn2cbEvbpe3YSitheOu3FPt/97nz/b24brcheOF+BKehoMKREGA5lZV4K+mO9/PSZ&#10;Eh+YKZkCIwp6EJ7ezj5+uKntVOSwBVUKR9CI8dPaFnQbgp1mmedboZkfgBUGhRKcZgGf7iUrHavR&#10;ulZZPhxeZjW40jrgwnvk3rVCOkv2pRQ8PEjpRSCqoOhbSKdL5yae2eyGTV8cs9uKd26wf/BCs8rg&#10;p0dTdywwsnPVH6Z0xR14kGHAQWcgZcVFigGjGQ3PonnaMitSLJgcb49p8v/PLL/fPzpSlVi7MSWG&#10;aazRWjSBfIGGIAvzU1s/RdiTRWBokI/Ynu+RGcNupNPxxoAIyjHTh2N2ozUelS7yi+urCSUcZfn1&#10;JEcazWdv2tb58FWAJpEoqMPqpaSy/cqHFtpD4mcGlpVSqYLKkLqglxeTYVI4StC4MhErUi90ZmJE&#10;reeJCgclIkaZ70JiLlIAkZG6UCyUI3uG/cM4Fyak2JNdREeURCfeo9jh37x6j3IbR/8zmHBU1pUB&#10;l6I/c7v82bssWzzm/CTuSIZm06QmyPvCbqA8YL0dtBPjLV9WWJQV8+GRORwRLDGOfXjAQyrA5ENH&#10;UbIF9/tv/IjHzkUpJTWOXEH9rx1zghL1zWBPX4/G4zij6TGeXOX4cKeSzanE7PQCsCojXDCWJzLi&#10;g+pJ6UA/43aYx19RxAzHvwsaenIR2kWA24WL+TyBcCotCyvzZHk0HYsUW27dPDNnu74M2NH30A8n&#10;m561Z4uNmgbmuwCySr0b89xmtcs/TnTq/m77xJVx+k6otx05ewUAAP//AwBQSwMEFAAGAAgAAAAh&#10;AKtz6pXiAAAACQEAAA8AAABkcnMvZG93bnJldi54bWxMj8FOwzAQRO9I/IO1SNxaJ4aWNsSpqkgV&#10;EqKHll56c+JtEmGvQ+y2ga/HnOC42qeZN/lqtIZdcPCdIwnpNAGGVDvdUSPh8L6ZLID5oEgr4wgl&#10;fKGHVXF7k6tMuyvt8LIPDYsh5DMloQ2hzzj3dYtW+anrkeLv5AarQjyHhutBXWO4NVwkyZxb1VFs&#10;aFWPZYv1x/5sJbyWm63aVcIuvk358nZa95+H40zK+7tx/Qws4Bj+YPjVj+pQRKfKnUl7ZiQ8pWIW&#10;UQmT+QOwCCxFGsdVEh4TAbzI+f8FxQ8AAAD//wMAUEsBAi0AFAAGAAgAAAAhALaDOJL+AAAA4QEA&#10;ABMAAAAAAAAAAAAAAAAAAAAAAFtDb250ZW50X1R5cGVzXS54bWxQSwECLQAUAAYACAAAACEAOP0h&#10;/9YAAACUAQAACwAAAAAAAAAAAAAAAAAvAQAAX3JlbHMvLnJlbHNQSwECLQAUAAYACAAAACEArX5a&#10;XH8CAABrBQAADgAAAAAAAAAAAAAAAAAuAgAAZHJzL2Uyb0RvYy54bWxQSwECLQAUAAYACAAAACEA&#10;q3PqleIAAAAJAQAADwAAAAAAAAAAAAAAAADZBAAAZHJzL2Rvd25yZXYueG1sUEsFBgAAAAAEAAQA&#10;8wAAAOgFAAAAAA==&#10;" filled="f" stroked="f" strokeweight=".5pt">
              <v:textbox>
                <w:txbxContent>
                  <w:p w:rsidR="00927976" w:rsidRPr="00F36BEB" w:rsidRDefault="00927976"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691195">
                      <w:rPr>
                        <w:rFonts w:asciiTheme="minorHAnsi" w:hAnsiTheme="minorHAnsi"/>
                        <w:bCs/>
                        <w:noProof/>
                        <w:sz w:val="18"/>
                        <w:szCs w:val="18"/>
                      </w:rPr>
                      <w:t>8</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691195">
                      <w:rPr>
                        <w:rFonts w:asciiTheme="minorHAnsi" w:hAnsiTheme="minorHAnsi"/>
                        <w:bCs/>
                        <w:noProof/>
                        <w:sz w:val="18"/>
                        <w:szCs w:val="18"/>
                      </w:rPr>
                      <w:t>8</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report –</w:t>
    </w:r>
    <w:r w:rsidR="00075898">
      <w:rPr>
        <w:rFonts w:asciiTheme="minorHAnsi" w:hAnsiTheme="minorHAnsi"/>
        <w:sz w:val="18"/>
        <w:szCs w:val="18"/>
      </w:rPr>
      <w:t xml:space="preserve"> </w:t>
    </w:r>
    <w:r w:rsidR="00240CB2">
      <w:rPr>
        <w:rFonts w:asciiTheme="minorHAnsi" w:hAnsiTheme="minorHAnsi"/>
        <w:sz w:val="18"/>
        <w:szCs w:val="18"/>
      </w:rPr>
      <w:t>1</w:t>
    </w:r>
    <w:r w:rsidR="00A82FFF">
      <w:rPr>
        <w:rFonts w:asciiTheme="minorHAnsi" w:hAnsiTheme="minorHAnsi"/>
        <w:sz w:val="18"/>
        <w:szCs w:val="18"/>
      </w:rPr>
      <w:t>2</w:t>
    </w:r>
    <w:r w:rsidR="00075898">
      <w:rPr>
        <w:rFonts w:asciiTheme="minorHAnsi" w:hAnsiTheme="minorHAnsi"/>
        <w:sz w:val="18"/>
        <w:szCs w:val="18"/>
      </w:rPr>
      <w:t xml:space="preserve"> </w:t>
    </w:r>
    <w:r w:rsidR="00240CB2">
      <w:rPr>
        <w:rFonts w:asciiTheme="minorHAnsi" w:hAnsiTheme="minorHAnsi"/>
        <w:sz w:val="18"/>
        <w:szCs w:val="18"/>
      </w:rPr>
      <w:t>October</w:t>
    </w:r>
    <w:r w:rsidR="00075898">
      <w:rPr>
        <w:rFonts w:asciiTheme="minorHAnsi" w:hAnsiTheme="minorHAnsi"/>
        <w:sz w:val="18"/>
        <w:szCs w:val="18"/>
      </w:rPr>
      <w:t xml:space="preserve"> </w:t>
    </w:r>
    <w:r w:rsidR="00427B34">
      <w:rPr>
        <w:rFonts w:asciiTheme="minorHAnsi" w:hAnsiTheme="minorHAnsi"/>
        <w:sz w:val="18"/>
        <w:szCs w:val="18"/>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57B" w:rsidRDefault="0038557B" w:rsidP="00770BB2">
      <w:pPr>
        <w:spacing w:after="0"/>
      </w:pPr>
      <w:r>
        <w:separator/>
      </w:r>
    </w:p>
  </w:footnote>
  <w:footnote w:type="continuationSeparator" w:id="0">
    <w:p w:rsidR="0038557B" w:rsidRDefault="0038557B" w:rsidP="00770B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AD0F4B"/>
    <w:multiLevelType w:val="hybridMultilevel"/>
    <w:tmpl w:val="B9D80358"/>
    <w:lvl w:ilvl="0" w:tplc="464E7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3C4A01"/>
    <w:multiLevelType w:val="hybridMultilevel"/>
    <w:tmpl w:val="26D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373578"/>
    <w:multiLevelType w:val="multilevel"/>
    <w:tmpl w:val="03F415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8938BF"/>
    <w:multiLevelType w:val="hybridMultilevel"/>
    <w:tmpl w:val="4956EF72"/>
    <w:lvl w:ilvl="0" w:tplc="7E1210E8">
      <w:start w:val="1"/>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AE23CB"/>
    <w:multiLevelType w:val="hybridMultilevel"/>
    <w:tmpl w:val="DF5A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4008AA"/>
    <w:multiLevelType w:val="hybridMultilevel"/>
    <w:tmpl w:val="063C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5">
    <w:nsid w:val="47084943"/>
    <w:multiLevelType w:val="hybridMultilevel"/>
    <w:tmpl w:val="153608E8"/>
    <w:lvl w:ilvl="0" w:tplc="AC189160">
      <w:start w:val="1"/>
      <w:numFmt w:val="bullet"/>
      <w:pStyle w:val="Bullet1"/>
      <w:lvlText w:val=""/>
      <w:lvlJc w:val="left"/>
      <w:pPr>
        <w:ind w:left="360" w:hanging="360"/>
      </w:pPr>
      <w:rPr>
        <w:rFonts w:ascii="Symbol" w:hAnsi="Symbol" w:hint="default"/>
      </w:rPr>
    </w:lvl>
    <w:lvl w:ilvl="1" w:tplc="16DE8A6A">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F45B2D"/>
    <w:multiLevelType w:val="hybridMultilevel"/>
    <w:tmpl w:val="09A2C534"/>
    <w:lvl w:ilvl="0" w:tplc="6D1C3F3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0">
    <w:nsid w:val="53BD4790"/>
    <w:multiLevelType w:val="hybridMultilevel"/>
    <w:tmpl w:val="19A2E212"/>
    <w:lvl w:ilvl="0" w:tplc="B4DCEC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8DA3198"/>
    <w:multiLevelType w:val="hybridMultilevel"/>
    <w:tmpl w:val="F3C2FB10"/>
    <w:lvl w:ilvl="0" w:tplc="437C4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num>
  <w:num w:numId="2">
    <w:abstractNumId w:val="14"/>
    <w:lvlOverride w:ilvl="0">
      <w:startOverride w:val="1"/>
    </w:lvlOverride>
  </w:num>
  <w:num w:numId="3">
    <w:abstractNumId w:val="15"/>
  </w:num>
  <w:num w:numId="4">
    <w:abstractNumId w:val="9"/>
  </w:num>
  <w:num w:numId="5">
    <w:abstractNumId w:val="8"/>
  </w:num>
  <w:num w:numId="6">
    <w:abstractNumId w:val="17"/>
  </w:num>
  <w:num w:numId="7">
    <w:abstractNumId w:val="0"/>
  </w:num>
  <w:num w:numId="8">
    <w:abstractNumId w:val="16"/>
  </w:num>
  <w:num w:numId="9">
    <w:abstractNumId w:val="18"/>
  </w:num>
  <w:num w:numId="10">
    <w:abstractNumId w:val="6"/>
  </w:num>
  <w:num w:numId="11">
    <w:abstractNumId w:val="11"/>
  </w:num>
  <w:num w:numId="12">
    <w:abstractNumId w:val="4"/>
  </w:num>
  <w:num w:numId="13">
    <w:abstractNumId w:val="22"/>
  </w:num>
  <w:num w:numId="14">
    <w:abstractNumId w:val="13"/>
  </w:num>
  <w:num w:numId="15">
    <w:abstractNumId w:val="2"/>
  </w:num>
  <w:num w:numId="16">
    <w:abstractNumId w:val="10"/>
  </w:num>
  <w:num w:numId="17">
    <w:abstractNumId w:val="15"/>
  </w:num>
  <w:num w:numId="18">
    <w:abstractNumId w:val="7"/>
  </w:num>
  <w:num w:numId="19">
    <w:abstractNumId w:val="12"/>
  </w:num>
  <w:num w:numId="20">
    <w:abstractNumId w:val="21"/>
  </w:num>
  <w:num w:numId="21">
    <w:abstractNumId w:val="20"/>
  </w:num>
  <w:num w:numId="22">
    <w:abstractNumId w:val="19"/>
  </w:num>
  <w:num w:numId="23">
    <w:abstractNumId w:val="1"/>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ttachedTemplate r:id="rId1"/>
  <w:defaultTabStop w:val="720"/>
  <w:characterSpacingControl w:val="doNotCompress"/>
  <w:hdrShapeDefaults>
    <o:shapedefaults v:ext="edit" spidmax="610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7"/>
    <w:rsid w:val="00001C33"/>
    <w:rsid w:val="00005257"/>
    <w:rsid w:val="0000755F"/>
    <w:rsid w:val="0001026A"/>
    <w:rsid w:val="00012ABB"/>
    <w:rsid w:val="00013888"/>
    <w:rsid w:val="0001404D"/>
    <w:rsid w:val="00016221"/>
    <w:rsid w:val="00016253"/>
    <w:rsid w:val="00017FF1"/>
    <w:rsid w:val="00023C9A"/>
    <w:rsid w:val="00024E08"/>
    <w:rsid w:val="00030032"/>
    <w:rsid w:val="00030C3E"/>
    <w:rsid w:val="00035BEF"/>
    <w:rsid w:val="00036023"/>
    <w:rsid w:val="00041495"/>
    <w:rsid w:val="00043F5E"/>
    <w:rsid w:val="00047F1B"/>
    <w:rsid w:val="000543DC"/>
    <w:rsid w:val="000547E2"/>
    <w:rsid w:val="000568B4"/>
    <w:rsid w:val="0007220A"/>
    <w:rsid w:val="0007310B"/>
    <w:rsid w:val="00073713"/>
    <w:rsid w:val="000743AC"/>
    <w:rsid w:val="000748A6"/>
    <w:rsid w:val="00075898"/>
    <w:rsid w:val="00077AE6"/>
    <w:rsid w:val="00077F57"/>
    <w:rsid w:val="00082E34"/>
    <w:rsid w:val="000859A2"/>
    <w:rsid w:val="0008769A"/>
    <w:rsid w:val="00093D64"/>
    <w:rsid w:val="000957A1"/>
    <w:rsid w:val="00096A78"/>
    <w:rsid w:val="000972BF"/>
    <w:rsid w:val="000A0B62"/>
    <w:rsid w:val="000A214A"/>
    <w:rsid w:val="000A241D"/>
    <w:rsid w:val="000A28C1"/>
    <w:rsid w:val="000A5B3D"/>
    <w:rsid w:val="000B288A"/>
    <w:rsid w:val="000B6429"/>
    <w:rsid w:val="000B6FE6"/>
    <w:rsid w:val="000C03A6"/>
    <w:rsid w:val="000C4681"/>
    <w:rsid w:val="000C4C73"/>
    <w:rsid w:val="000C4FC2"/>
    <w:rsid w:val="000D14D5"/>
    <w:rsid w:val="000D1793"/>
    <w:rsid w:val="000D5676"/>
    <w:rsid w:val="000E3775"/>
    <w:rsid w:val="000E73F0"/>
    <w:rsid w:val="000F0126"/>
    <w:rsid w:val="000F2752"/>
    <w:rsid w:val="000F5570"/>
    <w:rsid w:val="000F5904"/>
    <w:rsid w:val="000F6A98"/>
    <w:rsid w:val="000F74DB"/>
    <w:rsid w:val="0010051C"/>
    <w:rsid w:val="00100DF7"/>
    <w:rsid w:val="00103343"/>
    <w:rsid w:val="001036F8"/>
    <w:rsid w:val="001062D2"/>
    <w:rsid w:val="001074D8"/>
    <w:rsid w:val="00112379"/>
    <w:rsid w:val="0011504B"/>
    <w:rsid w:val="001244FE"/>
    <w:rsid w:val="001259CF"/>
    <w:rsid w:val="0012673C"/>
    <w:rsid w:val="0013142B"/>
    <w:rsid w:val="00133532"/>
    <w:rsid w:val="0013536D"/>
    <w:rsid w:val="0013683A"/>
    <w:rsid w:val="00137B10"/>
    <w:rsid w:val="00140630"/>
    <w:rsid w:val="0014157F"/>
    <w:rsid w:val="00144E33"/>
    <w:rsid w:val="00146D64"/>
    <w:rsid w:val="00147379"/>
    <w:rsid w:val="00150BBB"/>
    <w:rsid w:val="0015221D"/>
    <w:rsid w:val="00152D5E"/>
    <w:rsid w:val="00154F36"/>
    <w:rsid w:val="0015675B"/>
    <w:rsid w:val="0015676F"/>
    <w:rsid w:val="00166823"/>
    <w:rsid w:val="001711B0"/>
    <w:rsid w:val="001730E4"/>
    <w:rsid w:val="00174EE0"/>
    <w:rsid w:val="00175AAE"/>
    <w:rsid w:val="00175D63"/>
    <w:rsid w:val="00191F7C"/>
    <w:rsid w:val="0019225A"/>
    <w:rsid w:val="001B0274"/>
    <w:rsid w:val="001B1928"/>
    <w:rsid w:val="001B266A"/>
    <w:rsid w:val="001B5004"/>
    <w:rsid w:val="001B6FDF"/>
    <w:rsid w:val="001B7989"/>
    <w:rsid w:val="001B7C84"/>
    <w:rsid w:val="001C245F"/>
    <w:rsid w:val="001C2558"/>
    <w:rsid w:val="001C4137"/>
    <w:rsid w:val="001C7180"/>
    <w:rsid w:val="001C71EB"/>
    <w:rsid w:val="001D0629"/>
    <w:rsid w:val="001D1EBA"/>
    <w:rsid w:val="001E1EE2"/>
    <w:rsid w:val="001E4C23"/>
    <w:rsid w:val="001E7335"/>
    <w:rsid w:val="001F17AD"/>
    <w:rsid w:val="001F4A57"/>
    <w:rsid w:val="001F5325"/>
    <w:rsid w:val="001F790F"/>
    <w:rsid w:val="00201E63"/>
    <w:rsid w:val="00201F77"/>
    <w:rsid w:val="0020200A"/>
    <w:rsid w:val="00204FC3"/>
    <w:rsid w:val="00205EC3"/>
    <w:rsid w:val="002069FE"/>
    <w:rsid w:val="00210255"/>
    <w:rsid w:val="00222276"/>
    <w:rsid w:val="00223815"/>
    <w:rsid w:val="00224675"/>
    <w:rsid w:val="002250E8"/>
    <w:rsid w:val="00226B70"/>
    <w:rsid w:val="00230AE2"/>
    <w:rsid w:val="00232336"/>
    <w:rsid w:val="0023571D"/>
    <w:rsid w:val="0023734D"/>
    <w:rsid w:val="00240CB2"/>
    <w:rsid w:val="00242999"/>
    <w:rsid w:val="0024486B"/>
    <w:rsid w:val="0024540B"/>
    <w:rsid w:val="00254CEE"/>
    <w:rsid w:val="002555D6"/>
    <w:rsid w:val="00255C1E"/>
    <w:rsid w:val="002565D1"/>
    <w:rsid w:val="00262C82"/>
    <w:rsid w:val="00263B04"/>
    <w:rsid w:val="00266714"/>
    <w:rsid w:val="00266A52"/>
    <w:rsid w:val="00277366"/>
    <w:rsid w:val="002818E2"/>
    <w:rsid w:val="0028359E"/>
    <w:rsid w:val="0029275E"/>
    <w:rsid w:val="002943E7"/>
    <w:rsid w:val="002A569E"/>
    <w:rsid w:val="002A5B63"/>
    <w:rsid w:val="002A615C"/>
    <w:rsid w:val="002A6F27"/>
    <w:rsid w:val="002A7029"/>
    <w:rsid w:val="002A70A4"/>
    <w:rsid w:val="002B33CD"/>
    <w:rsid w:val="002B642C"/>
    <w:rsid w:val="002B68F0"/>
    <w:rsid w:val="002B7E32"/>
    <w:rsid w:val="002C0665"/>
    <w:rsid w:val="002C17A9"/>
    <w:rsid w:val="002C272E"/>
    <w:rsid w:val="002C389C"/>
    <w:rsid w:val="002C4B2A"/>
    <w:rsid w:val="002C5EB3"/>
    <w:rsid w:val="002C6574"/>
    <w:rsid w:val="002D2A2F"/>
    <w:rsid w:val="002D3148"/>
    <w:rsid w:val="002D4CCA"/>
    <w:rsid w:val="002E019A"/>
    <w:rsid w:val="002E0C0E"/>
    <w:rsid w:val="002E44EE"/>
    <w:rsid w:val="002F27AB"/>
    <w:rsid w:val="002F6577"/>
    <w:rsid w:val="002F73A7"/>
    <w:rsid w:val="002F7815"/>
    <w:rsid w:val="00300B75"/>
    <w:rsid w:val="003020C9"/>
    <w:rsid w:val="00302596"/>
    <w:rsid w:val="003054AE"/>
    <w:rsid w:val="0030595A"/>
    <w:rsid w:val="00310C2F"/>
    <w:rsid w:val="00313B97"/>
    <w:rsid w:val="00315623"/>
    <w:rsid w:val="00342FB9"/>
    <w:rsid w:val="00344B8D"/>
    <w:rsid w:val="00346A3F"/>
    <w:rsid w:val="00347044"/>
    <w:rsid w:val="00353D66"/>
    <w:rsid w:val="003553BD"/>
    <w:rsid w:val="00355FEB"/>
    <w:rsid w:val="00357D9F"/>
    <w:rsid w:val="00365B05"/>
    <w:rsid w:val="00365BD8"/>
    <w:rsid w:val="003660A2"/>
    <w:rsid w:val="003672D5"/>
    <w:rsid w:val="00383C33"/>
    <w:rsid w:val="0038557B"/>
    <w:rsid w:val="00392811"/>
    <w:rsid w:val="00392BA4"/>
    <w:rsid w:val="003939C7"/>
    <w:rsid w:val="00394A72"/>
    <w:rsid w:val="00395A4E"/>
    <w:rsid w:val="00395B9D"/>
    <w:rsid w:val="003A55BF"/>
    <w:rsid w:val="003A70C5"/>
    <w:rsid w:val="003B1CA0"/>
    <w:rsid w:val="003B25B9"/>
    <w:rsid w:val="003C19AE"/>
    <w:rsid w:val="003C319A"/>
    <w:rsid w:val="003C324C"/>
    <w:rsid w:val="003C4948"/>
    <w:rsid w:val="003D37D2"/>
    <w:rsid w:val="003E0916"/>
    <w:rsid w:val="003E397A"/>
    <w:rsid w:val="003E3AC3"/>
    <w:rsid w:val="003F010B"/>
    <w:rsid w:val="003F0BF7"/>
    <w:rsid w:val="003F352A"/>
    <w:rsid w:val="003F4483"/>
    <w:rsid w:val="003F451F"/>
    <w:rsid w:val="003F4CA6"/>
    <w:rsid w:val="00401559"/>
    <w:rsid w:val="004172DE"/>
    <w:rsid w:val="00421CB6"/>
    <w:rsid w:val="00422DD3"/>
    <w:rsid w:val="00426D27"/>
    <w:rsid w:val="00427B34"/>
    <w:rsid w:val="00431AF9"/>
    <w:rsid w:val="00437752"/>
    <w:rsid w:val="00437E21"/>
    <w:rsid w:val="00440916"/>
    <w:rsid w:val="004536BA"/>
    <w:rsid w:val="00453A83"/>
    <w:rsid w:val="00454EA4"/>
    <w:rsid w:val="00462B99"/>
    <w:rsid w:val="0046565C"/>
    <w:rsid w:val="0046646B"/>
    <w:rsid w:val="00466A51"/>
    <w:rsid w:val="00466E04"/>
    <w:rsid w:val="004670EA"/>
    <w:rsid w:val="00467845"/>
    <w:rsid w:val="00467943"/>
    <w:rsid w:val="0047021D"/>
    <w:rsid w:val="00470907"/>
    <w:rsid w:val="00472A73"/>
    <w:rsid w:val="00473EE2"/>
    <w:rsid w:val="0047566C"/>
    <w:rsid w:val="0048170C"/>
    <w:rsid w:val="0048524C"/>
    <w:rsid w:val="00485CAD"/>
    <w:rsid w:val="00486DE7"/>
    <w:rsid w:val="00491308"/>
    <w:rsid w:val="0049189B"/>
    <w:rsid w:val="00492FE0"/>
    <w:rsid w:val="004931E7"/>
    <w:rsid w:val="004940D8"/>
    <w:rsid w:val="00495261"/>
    <w:rsid w:val="0049719C"/>
    <w:rsid w:val="004A68A3"/>
    <w:rsid w:val="004C03BF"/>
    <w:rsid w:val="004C1A04"/>
    <w:rsid w:val="004C2CCC"/>
    <w:rsid w:val="004C5CA5"/>
    <w:rsid w:val="004C5D3F"/>
    <w:rsid w:val="004C6768"/>
    <w:rsid w:val="004D1FA3"/>
    <w:rsid w:val="004E05ED"/>
    <w:rsid w:val="004E3576"/>
    <w:rsid w:val="004F18BE"/>
    <w:rsid w:val="004F1A32"/>
    <w:rsid w:val="004F75CA"/>
    <w:rsid w:val="0050190A"/>
    <w:rsid w:val="005075D8"/>
    <w:rsid w:val="005076B6"/>
    <w:rsid w:val="00520230"/>
    <w:rsid w:val="005205A7"/>
    <w:rsid w:val="00526B22"/>
    <w:rsid w:val="00527D41"/>
    <w:rsid w:val="0053082C"/>
    <w:rsid w:val="00532111"/>
    <w:rsid w:val="005323C2"/>
    <w:rsid w:val="00534836"/>
    <w:rsid w:val="005427A7"/>
    <w:rsid w:val="00543268"/>
    <w:rsid w:val="005459E8"/>
    <w:rsid w:val="00551248"/>
    <w:rsid w:val="00555133"/>
    <w:rsid w:val="0055561D"/>
    <w:rsid w:val="00557CBC"/>
    <w:rsid w:val="0056062B"/>
    <w:rsid w:val="005626CD"/>
    <w:rsid w:val="00562D92"/>
    <w:rsid w:val="0056304F"/>
    <w:rsid w:val="00565EA9"/>
    <w:rsid w:val="0056649D"/>
    <w:rsid w:val="0056682B"/>
    <w:rsid w:val="00567D8C"/>
    <w:rsid w:val="0057163C"/>
    <w:rsid w:val="00572FD7"/>
    <w:rsid w:val="005832A6"/>
    <w:rsid w:val="005836D4"/>
    <w:rsid w:val="00584E69"/>
    <w:rsid w:val="0058651A"/>
    <w:rsid w:val="00595E1E"/>
    <w:rsid w:val="00596C26"/>
    <w:rsid w:val="00597592"/>
    <w:rsid w:val="00597C53"/>
    <w:rsid w:val="005A1A88"/>
    <w:rsid w:val="005A3D26"/>
    <w:rsid w:val="005A417A"/>
    <w:rsid w:val="005B0A14"/>
    <w:rsid w:val="005B1701"/>
    <w:rsid w:val="005B325D"/>
    <w:rsid w:val="005C025F"/>
    <w:rsid w:val="005C2F9E"/>
    <w:rsid w:val="005C51F9"/>
    <w:rsid w:val="005D002A"/>
    <w:rsid w:val="005D0921"/>
    <w:rsid w:val="005D0AF3"/>
    <w:rsid w:val="005D11FA"/>
    <w:rsid w:val="005D23BB"/>
    <w:rsid w:val="005E4E21"/>
    <w:rsid w:val="005E7470"/>
    <w:rsid w:val="005F5278"/>
    <w:rsid w:val="005F6B98"/>
    <w:rsid w:val="006008B9"/>
    <w:rsid w:val="00605005"/>
    <w:rsid w:val="006051D3"/>
    <w:rsid w:val="00607190"/>
    <w:rsid w:val="0061043D"/>
    <w:rsid w:val="00620EC1"/>
    <w:rsid w:val="00622D7E"/>
    <w:rsid w:val="006258FC"/>
    <w:rsid w:val="00625EEB"/>
    <w:rsid w:val="00626105"/>
    <w:rsid w:val="006268EC"/>
    <w:rsid w:val="006312FA"/>
    <w:rsid w:val="00632F1C"/>
    <w:rsid w:val="00635B6F"/>
    <w:rsid w:val="006370B2"/>
    <w:rsid w:val="00643C9C"/>
    <w:rsid w:val="0065278E"/>
    <w:rsid w:val="006560F4"/>
    <w:rsid w:val="00667F30"/>
    <w:rsid w:val="00672C2B"/>
    <w:rsid w:val="006730FE"/>
    <w:rsid w:val="00675F77"/>
    <w:rsid w:val="00681078"/>
    <w:rsid w:val="0068133D"/>
    <w:rsid w:val="00682921"/>
    <w:rsid w:val="006877FC"/>
    <w:rsid w:val="00691195"/>
    <w:rsid w:val="00691635"/>
    <w:rsid w:val="00695153"/>
    <w:rsid w:val="00695C4D"/>
    <w:rsid w:val="00696A51"/>
    <w:rsid w:val="00697D70"/>
    <w:rsid w:val="006A30F3"/>
    <w:rsid w:val="006A32C9"/>
    <w:rsid w:val="006A49DE"/>
    <w:rsid w:val="006B089F"/>
    <w:rsid w:val="006B5A1D"/>
    <w:rsid w:val="006B6E81"/>
    <w:rsid w:val="006C0EB2"/>
    <w:rsid w:val="006C2766"/>
    <w:rsid w:val="006C41C8"/>
    <w:rsid w:val="006D00B3"/>
    <w:rsid w:val="006D0C71"/>
    <w:rsid w:val="006D5F6E"/>
    <w:rsid w:val="006D6C53"/>
    <w:rsid w:val="006D76C7"/>
    <w:rsid w:val="006D7DCF"/>
    <w:rsid w:val="006E628A"/>
    <w:rsid w:val="006E6DF0"/>
    <w:rsid w:val="006E7C82"/>
    <w:rsid w:val="006F1461"/>
    <w:rsid w:val="006F4966"/>
    <w:rsid w:val="006F4B7C"/>
    <w:rsid w:val="006F4E2B"/>
    <w:rsid w:val="006F5E29"/>
    <w:rsid w:val="006F770F"/>
    <w:rsid w:val="00702736"/>
    <w:rsid w:val="00705536"/>
    <w:rsid w:val="00707B27"/>
    <w:rsid w:val="00710364"/>
    <w:rsid w:val="00710DDB"/>
    <w:rsid w:val="00712D88"/>
    <w:rsid w:val="007170EF"/>
    <w:rsid w:val="00725639"/>
    <w:rsid w:val="00732136"/>
    <w:rsid w:val="00735957"/>
    <w:rsid w:val="00735994"/>
    <w:rsid w:val="00735D41"/>
    <w:rsid w:val="00735E18"/>
    <w:rsid w:val="00736B27"/>
    <w:rsid w:val="00742FB7"/>
    <w:rsid w:val="007432E3"/>
    <w:rsid w:val="00743ECF"/>
    <w:rsid w:val="007475AE"/>
    <w:rsid w:val="00747D7B"/>
    <w:rsid w:val="00750087"/>
    <w:rsid w:val="00750095"/>
    <w:rsid w:val="00754AE3"/>
    <w:rsid w:val="00754E5F"/>
    <w:rsid w:val="00755270"/>
    <w:rsid w:val="0075566C"/>
    <w:rsid w:val="00755ABA"/>
    <w:rsid w:val="007575E3"/>
    <w:rsid w:val="007616D6"/>
    <w:rsid w:val="00762753"/>
    <w:rsid w:val="007629F6"/>
    <w:rsid w:val="00764779"/>
    <w:rsid w:val="00764FC5"/>
    <w:rsid w:val="00765DF6"/>
    <w:rsid w:val="00767AD2"/>
    <w:rsid w:val="00770BB2"/>
    <w:rsid w:val="00772A4F"/>
    <w:rsid w:val="00772F3B"/>
    <w:rsid w:val="00776672"/>
    <w:rsid w:val="00782C24"/>
    <w:rsid w:val="007854A6"/>
    <w:rsid w:val="0079356B"/>
    <w:rsid w:val="00794A2E"/>
    <w:rsid w:val="00797307"/>
    <w:rsid w:val="007A131A"/>
    <w:rsid w:val="007A4916"/>
    <w:rsid w:val="007B2889"/>
    <w:rsid w:val="007B3471"/>
    <w:rsid w:val="007B542B"/>
    <w:rsid w:val="007C1434"/>
    <w:rsid w:val="007C1745"/>
    <w:rsid w:val="007C1A69"/>
    <w:rsid w:val="007C5284"/>
    <w:rsid w:val="007C5437"/>
    <w:rsid w:val="007C6FC5"/>
    <w:rsid w:val="007C7EE9"/>
    <w:rsid w:val="007D0365"/>
    <w:rsid w:val="007D65A5"/>
    <w:rsid w:val="007D7F35"/>
    <w:rsid w:val="007E086B"/>
    <w:rsid w:val="007E6158"/>
    <w:rsid w:val="007F0CC6"/>
    <w:rsid w:val="007F59BF"/>
    <w:rsid w:val="007F5ABA"/>
    <w:rsid w:val="007F5B8C"/>
    <w:rsid w:val="007F6A3A"/>
    <w:rsid w:val="007F7B83"/>
    <w:rsid w:val="007F7F9B"/>
    <w:rsid w:val="0080253F"/>
    <w:rsid w:val="00803296"/>
    <w:rsid w:val="00803A2F"/>
    <w:rsid w:val="00804F1A"/>
    <w:rsid w:val="00807766"/>
    <w:rsid w:val="00807AF6"/>
    <w:rsid w:val="008133D6"/>
    <w:rsid w:val="008208A2"/>
    <w:rsid w:val="0082133E"/>
    <w:rsid w:val="00846119"/>
    <w:rsid w:val="008461CD"/>
    <w:rsid w:val="00846A1E"/>
    <w:rsid w:val="00850686"/>
    <w:rsid w:val="00850B1A"/>
    <w:rsid w:val="0085116E"/>
    <w:rsid w:val="00861202"/>
    <w:rsid w:val="00867C10"/>
    <w:rsid w:val="00873004"/>
    <w:rsid w:val="0087634F"/>
    <w:rsid w:val="00877B1D"/>
    <w:rsid w:val="00880D50"/>
    <w:rsid w:val="0088250F"/>
    <w:rsid w:val="008842C2"/>
    <w:rsid w:val="0088677E"/>
    <w:rsid w:val="00890FEA"/>
    <w:rsid w:val="00891FC4"/>
    <w:rsid w:val="00893E67"/>
    <w:rsid w:val="00895A31"/>
    <w:rsid w:val="008A0D13"/>
    <w:rsid w:val="008A4655"/>
    <w:rsid w:val="008A5435"/>
    <w:rsid w:val="008A6B82"/>
    <w:rsid w:val="008A7AB4"/>
    <w:rsid w:val="008B2C31"/>
    <w:rsid w:val="008B7A3A"/>
    <w:rsid w:val="008C2518"/>
    <w:rsid w:val="008C4037"/>
    <w:rsid w:val="008C72D3"/>
    <w:rsid w:val="008C7B9F"/>
    <w:rsid w:val="008D21A2"/>
    <w:rsid w:val="008D5F4B"/>
    <w:rsid w:val="008D6D22"/>
    <w:rsid w:val="008D7DE6"/>
    <w:rsid w:val="008E071E"/>
    <w:rsid w:val="008E4267"/>
    <w:rsid w:val="008F1DE7"/>
    <w:rsid w:val="008F2012"/>
    <w:rsid w:val="008F298A"/>
    <w:rsid w:val="008F61B0"/>
    <w:rsid w:val="008F78C8"/>
    <w:rsid w:val="008F7972"/>
    <w:rsid w:val="00903042"/>
    <w:rsid w:val="00907A5A"/>
    <w:rsid w:val="00912FAB"/>
    <w:rsid w:val="009148D5"/>
    <w:rsid w:val="00922018"/>
    <w:rsid w:val="00923904"/>
    <w:rsid w:val="00927976"/>
    <w:rsid w:val="00940B46"/>
    <w:rsid w:val="00945C3B"/>
    <w:rsid w:val="00945CAF"/>
    <w:rsid w:val="0095244D"/>
    <w:rsid w:val="00957F8D"/>
    <w:rsid w:val="00962AAB"/>
    <w:rsid w:val="009706B0"/>
    <w:rsid w:val="00971390"/>
    <w:rsid w:val="009727BF"/>
    <w:rsid w:val="00977F99"/>
    <w:rsid w:val="009818CB"/>
    <w:rsid w:val="009837E2"/>
    <w:rsid w:val="00986B21"/>
    <w:rsid w:val="00986D03"/>
    <w:rsid w:val="00993585"/>
    <w:rsid w:val="00994EA5"/>
    <w:rsid w:val="009A1D20"/>
    <w:rsid w:val="009A48CC"/>
    <w:rsid w:val="009A4DB4"/>
    <w:rsid w:val="009A5648"/>
    <w:rsid w:val="009A5B17"/>
    <w:rsid w:val="009B034C"/>
    <w:rsid w:val="009B0812"/>
    <w:rsid w:val="009B39C1"/>
    <w:rsid w:val="009B6788"/>
    <w:rsid w:val="009C4260"/>
    <w:rsid w:val="009C5F55"/>
    <w:rsid w:val="009D4758"/>
    <w:rsid w:val="009D5352"/>
    <w:rsid w:val="009E3577"/>
    <w:rsid w:val="009F51EE"/>
    <w:rsid w:val="00A01C65"/>
    <w:rsid w:val="00A02382"/>
    <w:rsid w:val="00A050FC"/>
    <w:rsid w:val="00A05B52"/>
    <w:rsid w:val="00A0618E"/>
    <w:rsid w:val="00A07FE0"/>
    <w:rsid w:val="00A22791"/>
    <w:rsid w:val="00A26717"/>
    <w:rsid w:val="00A273D8"/>
    <w:rsid w:val="00A333D4"/>
    <w:rsid w:val="00A431E6"/>
    <w:rsid w:val="00A4480B"/>
    <w:rsid w:val="00A461BE"/>
    <w:rsid w:val="00A5155B"/>
    <w:rsid w:val="00A523DC"/>
    <w:rsid w:val="00A55569"/>
    <w:rsid w:val="00A562BE"/>
    <w:rsid w:val="00A60511"/>
    <w:rsid w:val="00A62104"/>
    <w:rsid w:val="00A70698"/>
    <w:rsid w:val="00A711CD"/>
    <w:rsid w:val="00A73005"/>
    <w:rsid w:val="00A734A7"/>
    <w:rsid w:val="00A74074"/>
    <w:rsid w:val="00A8221D"/>
    <w:rsid w:val="00A82441"/>
    <w:rsid w:val="00A82FFF"/>
    <w:rsid w:val="00A87BFA"/>
    <w:rsid w:val="00A9651F"/>
    <w:rsid w:val="00A97790"/>
    <w:rsid w:val="00AA0818"/>
    <w:rsid w:val="00AA19A6"/>
    <w:rsid w:val="00AA3A52"/>
    <w:rsid w:val="00AA6683"/>
    <w:rsid w:val="00AB3CD0"/>
    <w:rsid w:val="00AB7368"/>
    <w:rsid w:val="00AC2EEF"/>
    <w:rsid w:val="00AC6C94"/>
    <w:rsid w:val="00AD076F"/>
    <w:rsid w:val="00AD1DBA"/>
    <w:rsid w:val="00AD2887"/>
    <w:rsid w:val="00AD55CE"/>
    <w:rsid w:val="00AD5836"/>
    <w:rsid w:val="00AD58FE"/>
    <w:rsid w:val="00AE149D"/>
    <w:rsid w:val="00AE5737"/>
    <w:rsid w:val="00AE7CB8"/>
    <w:rsid w:val="00AE7E32"/>
    <w:rsid w:val="00B00147"/>
    <w:rsid w:val="00B00A42"/>
    <w:rsid w:val="00B0348D"/>
    <w:rsid w:val="00B10E27"/>
    <w:rsid w:val="00B10F5D"/>
    <w:rsid w:val="00B14DA3"/>
    <w:rsid w:val="00B168E8"/>
    <w:rsid w:val="00B220A5"/>
    <w:rsid w:val="00B23802"/>
    <w:rsid w:val="00B2640F"/>
    <w:rsid w:val="00B2715B"/>
    <w:rsid w:val="00B306DA"/>
    <w:rsid w:val="00B31849"/>
    <w:rsid w:val="00B33DCF"/>
    <w:rsid w:val="00B4295A"/>
    <w:rsid w:val="00B561C2"/>
    <w:rsid w:val="00B6426B"/>
    <w:rsid w:val="00B64528"/>
    <w:rsid w:val="00B64D26"/>
    <w:rsid w:val="00B65A64"/>
    <w:rsid w:val="00B66D8D"/>
    <w:rsid w:val="00B731CD"/>
    <w:rsid w:val="00B8094C"/>
    <w:rsid w:val="00B80F68"/>
    <w:rsid w:val="00B83FDB"/>
    <w:rsid w:val="00B86F49"/>
    <w:rsid w:val="00B90C3F"/>
    <w:rsid w:val="00B95846"/>
    <w:rsid w:val="00B95CA3"/>
    <w:rsid w:val="00B96224"/>
    <w:rsid w:val="00BA1924"/>
    <w:rsid w:val="00BA5E44"/>
    <w:rsid w:val="00BA7304"/>
    <w:rsid w:val="00BB03B4"/>
    <w:rsid w:val="00BB0585"/>
    <w:rsid w:val="00BB0ADB"/>
    <w:rsid w:val="00BB2352"/>
    <w:rsid w:val="00BC5BA9"/>
    <w:rsid w:val="00BC74B6"/>
    <w:rsid w:val="00BD75C2"/>
    <w:rsid w:val="00BE0BBB"/>
    <w:rsid w:val="00BF02F5"/>
    <w:rsid w:val="00BF2EA0"/>
    <w:rsid w:val="00BF3D64"/>
    <w:rsid w:val="00BF593B"/>
    <w:rsid w:val="00BF637E"/>
    <w:rsid w:val="00C0127A"/>
    <w:rsid w:val="00C012A1"/>
    <w:rsid w:val="00C0149D"/>
    <w:rsid w:val="00C073B5"/>
    <w:rsid w:val="00C10850"/>
    <w:rsid w:val="00C11AF3"/>
    <w:rsid w:val="00C1317A"/>
    <w:rsid w:val="00C14F1E"/>
    <w:rsid w:val="00C1616A"/>
    <w:rsid w:val="00C1632E"/>
    <w:rsid w:val="00C3189E"/>
    <w:rsid w:val="00C37A65"/>
    <w:rsid w:val="00C43339"/>
    <w:rsid w:val="00C44E71"/>
    <w:rsid w:val="00C503E9"/>
    <w:rsid w:val="00C516BB"/>
    <w:rsid w:val="00C568EB"/>
    <w:rsid w:val="00C57FCF"/>
    <w:rsid w:val="00C61DFA"/>
    <w:rsid w:val="00C62AF1"/>
    <w:rsid w:val="00C635A4"/>
    <w:rsid w:val="00C70DC1"/>
    <w:rsid w:val="00C710A0"/>
    <w:rsid w:val="00C71962"/>
    <w:rsid w:val="00C73F88"/>
    <w:rsid w:val="00C74806"/>
    <w:rsid w:val="00C75870"/>
    <w:rsid w:val="00C76131"/>
    <w:rsid w:val="00C77F0A"/>
    <w:rsid w:val="00C8309B"/>
    <w:rsid w:val="00C925CE"/>
    <w:rsid w:val="00C93BB4"/>
    <w:rsid w:val="00C942A2"/>
    <w:rsid w:val="00C9440A"/>
    <w:rsid w:val="00C947D1"/>
    <w:rsid w:val="00C965B0"/>
    <w:rsid w:val="00C97622"/>
    <w:rsid w:val="00CA3420"/>
    <w:rsid w:val="00CA3E88"/>
    <w:rsid w:val="00CB047D"/>
    <w:rsid w:val="00CB1119"/>
    <w:rsid w:val="00CB1171"/>
    <w:rsid w:val="00CB19D3"/>
    <w:rsid w:val="00CB4AB7"/>
    <w:rsid w:val="00CB580C"/>
    <w:rsid w:val="00CB6285"/>
    <w:rsid w:val="00CC0052"/>
    <w:rsid w:val="00CC289A"/>
    <w:rsid w:val="00CC2A01"/>
    <w:rsid w:val="00CC3BB8"/>
    <w:rsid w:val="00CC5947"/>
    <w:rsid w:val="00CC662C"/>
    <w:rsid w:val="00CD790A"/>
    <w:rsid w:val="00CE107A"/>
    <w:rsid w:val="00CE526D"/>
    <w:rsid w:val="00CF0002"/>
    <w:rsid w:val="00CF0409"/>
    <w:rsid w:val="00CF0654"/>
    <w:rsid w:val="00CF1EF9"/>
    <w:rsid w:val="00CF2410"/>
    <w:rsid w:val="00CF59B2"/>
    <w:rsid w:val="00CF656D"/>
    <w:rsid w:val="00D0220B"/>
    <w:rsid w:val="00D0384D"/>
    <w:rsid w:val="00D039FA"/>
    <w:rsid w:val="00D05078"/>
    <w:rsid w:val="00D12287"/>
    <w:rsid w:val="00D20BD9"/>
    <w:rsid w:val="00D21073"/>
    <w:rsid w:val="00D22C5D"/>
    <w:rsid w:val="00D233C0"/>
    <w:rsid w:val="00D252D6"/>
    <w:rsid w:val="00D30E72"/>
    <w:rsid w:val="00D35EEF"/>
    <w:rsid w:val="00D363F4"/>
    <w:rsid w:val="00D411E7"/>
    <w:rsid w:val="00D434B8"/>
    <w:rsid w:val="00D43F79"/>
    <w:rsid w:val="00D45099"/>
    <w:rsid w:val="00D537C5"/>
    <w:rsid w:val="00D543A7"/>
    <w:rsid w:val="00D55C21"/>
    <w:rsid w:val="00D62B2C"/>
    <w:rsid w:val="00D72685"/>
    <w:rsid w:val="00D72CEF"/>
    <w:rsid w:val="00D72D3B"/>
    <w:rsid w:val="00D75406"/>
    <w:rsid w:val="00D773A0"/>
    <w:rsid w:val="00D8089D"/>
    <w:rsid w:val="00D82372"/>
    <w:rsid w:val="00D84F06"/>
    <w:rsid w:val="00D84F11"/>
    <w:rsid w:val="00D860DD"/>
    <w:rsid w:val="00D8764F"/>
    <w:rsid w:val="00D90430"/>
    <w:rsid w:val="00D953B8"/>
    <w:rsid w:val="00D967AB"/>
    <w:rsid w:val="00DA19EE"/>
    <w:rsid w:val="00DA3288"/>
    <w:rsid w:val="00DA7F28"/>
    <w:rsid w:val="00DB0DE8"/>
    <w:rsid w:val="00DB4D34"/>
    <w:rsid w:val="00DB7404"/>
    <w:rsid w:val="00DD1DE5"/>
    <w:rsid w:val="00DD70D6"/>
    <w:rsid w:val="00DE0A52"/>
    <w:rsid w:val="00DE3E8C"/>
    <w:rsid w:val="00DF07FA"/>
    <w:rsid w:val="00DF23ED"/>
    <w:rsid w:val="00DF36E2"/>
    <w:rsid w:val="00DF3D61"/>
    <w:rsid w:val="00DF543B"/>
    <w:rsid w:val="00E00AE6"/>
    <w:rsid w:val="00E03431"/>
    <w:rsid w:val="00E04002"/>
    <w:rsid w:val="00E10490"/>
    <w:rsid w:val="00E12A06"/>
    <w:rsid w:val="00E13351"/>
    <w:rsid w:val="00E20BF5"/>
    <w:rsid w:val="00E23F6F"/>
    <w:rsid w:val="00E24734"/>
    <w:rsid w:val="00E24CBF"/>
    <w:rsid w:val="00E30F46"/>
    <w:rsid w:val="00E343B7"/>
    <w:rsid w:val="00E37F6B"/>
    <w:rsid w:val="00E401D9"/>
    <w:rsid w:val="00E43091"/>
    <w:rsid w:val="00E45083"/>
    <w:rsid w:val="00E51A38"/>
    <w:rsid w:val="00E67AD2"/>
    <w:rsid w:val="00E72735"/>
    <w:rsid w:val="00E72E06"/>
    <w:rsid w:val="00E73D58"/>
    <w:rsid w:val="00E76371"/>
    <w:rsid w:val="00E76C84"/>
    <w:rsid w:val="00E8002B"/>
    <w:rsid w:val="00E80883"/>
    <w:rsid w:val="00E80FD5"/>
    <w:rsid w:val="00E83C08"/>
    <w:rsid w:val="00E928B0"/>
    <w:rsid w:val="00E942B9"/>
    <w:rsid w:val="00EA2EB9"/>
    <w:rsid w:val="00EA6E56"/>
    <w:rsid w:val="00EB3405"/>
    <w:rsid w:val="00EB5AE8"/>
    <w:rsid w:val="00EC04FD"/>
    <w:rsid w:val="00EC09B2"/>
    <w:rsid w:val="00EC31C0"/>
    <w:rsid w:val="00ED0E55"/>
    <w:rsid w:val="00EE10A1"/>
    <w:rsid w:val="00EE33B4"/>
    <w:rsid w:val="00EE54F2"/>
    <w:rsid w:val="00EE741F"/>
    <w:rsid w:val="00EF1CED"/>
    <w:rsid w:val="00EF485B"/>
    <w:rsid w:val="00EF5611"/>
    <w:rsid w:val="00EF70F6"/>
    <w:rsid w:val="00F045F9"/>
    <w:rsid w:val="00F06768"/>
    <w:rsid w:val="00F07FF3"/>
    <w:rsid w:val="00F12A58"/>
    <w:rsid w:val="00F16011"/>
    <w:rsid w:val="00F1696F"/>
    <w:rsid w:val="00F171E4"/>
    <w:rsid w:val="00F176FB"/>
    <w:rsid w:val="00F210EC"/>
    <w:rsid w:val="00F2351D"/>
    <w:rsid w:val="00F2413B"/>
    <w:rsid w:val="00F26181"/>
    <w:rsid w:val="00F33972"/>
    <w:rsid w:val="00F36BEB"/>
    <w:rsid w:val="00F3797B"/>
    <w:rsid w:val="00F4038A"/>
    <w:rsid w:val="00F45847"/>
    <w:rsid w:val="00F45B2B"/>
    <w:rsid w:val="00F474EE"/>
    <w:rsid w:val="00F51151"/>
    <w:rsid w:val="00F547F6"/>
    <w:rsid w:val="00F54AB7"/>
    <w:rsid w:val="00F55265"/>
    <w:rsid w:val="00F5549A"/>
    <w:rsid w:val="00F62DF0"/>
    <w:rsid w:val="00F75DFF"/>
    <w:rsid w:val="00F8022A"/>
    <w:rsid w:val="00F82B55"/>
    <w:rsid w:val="00F84EB0"/>
    <w:rsid w:val="00F85836"/>
    <w:rsid w:val="00F85AAF"/>
    <w:rsid w:val="00F941D9"/>
    <w:rsid w:val="00F950C7"/>
    <w:rsid w:val="00FA45B1"/>
    <w:rsid w:val="00FA688C"/>
    <w:rsid w:val="00FA721B"/>
    <w:rsid w:val="00FB16F5"/>
    <w:rsid w:val="00FC1FED"/>
    <w:rsid w:val="00FC4F3B"/>
    <w:rsid w:val="00FC7534"/>
    <w:rsid w:val="00FD13B6"/>
    <w:rsid w:val="00FD2E2A"/>
    <w:rsid w:val="00FE3118"/>
    <w:rsid w:val="00FE4B41"/>
    <w:rsid w:val="00FF0318"/>
    <w:rsid w:val="00FF0728"/>
    <w:rsid w:val="00FF13C4"/>
    <w:rsid w:val="00FF141A"/>
    <w:rsid w:val="00FF5959"/>
    <w:rsid w:val="00FF6827"/>
    <w:rsid w:val="00FF696E"/>
    <w:rsid w:val="00FF78FF"/>
    <w:rsid w:val="00FF7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0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734A7"/>
    <w:rPr>
      <w:rFonts w:ascii="Calibri" w:hAnsi="Calibri" w:cs="Times New Roman"/>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734A7"/>
    <w:pPr>
      <w:spacing w:before="4300" w:after="60"/>
      <w:outlineLvl w:val="9"/>
    </w:pPr>
    <w:rPr>
      <w:rFonts w:ascii="Georgia" w:hAnsi="Georgia"/>
      <w:b w:val="0"/>
      <w:bCs/>
      <w:caps w:val="0"/>
      <w:color w:val="264A76"/>
      <w:kern w:val="32"/>
      <w:sz w:val="44"/>
      <w:szCs w:val="44"/>
    </w:rPr>
  </w:style>
  <w:style w:type="character" w:customStyle="1" w:styleId="TitleChar">
    <w:name w:val="Title Char"/>
    <w:aliases w:val="PBO Title Char"/>
    <w:basedOn w:val="DefaultParagraphFont"/>
    <w:link w:val="Title"/>
    <w:rsid w:val="00A734A7"/>
    <w:rPr>
      <w:rFonts w:ascii="Georgia" w:eastAsia="Times New Roman" w:hAnsi="Georgia" w:cs="Times New Roman"/>
      <w:bCs/>
      <w:color w:val="264A76"/>
      <w:kern w:val="32"/>
      <w:sz w:val="44"/>
      <w:szCs w:val="44"/>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uiPriority w:val="99"/>
    <w:qFormat/>
    <w:rsid w:val="00A55569"/>
    <w:pPr>
      <w:spacing w:before="120" w:after="113"/>
    </w:pPr>
    <w:rPr>
      <w:rFonts w:eastAsia="Cambria"/>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qFormat/>
    <w:rsid w:val="00C71962"/>
    <w:pPr>
      <w:jc w:val="center"/>
    </w:pPr>
    <w:rPr>
      <w:color w:val="auto"/>
    </w:rPr>
  </w:style>
  <w:style w:type="paragraph" w:customStyle="1" w:styleId="TableText">
    <w:name w:val="Table Text"/>
    <w:basedOn w:val="Normal"/>
    <w:qFormat/>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qForma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734A7"/>
    <w:rPr>
      <w:rFonts w:ascii="Calibri" w:hAnsi="Calibri" w:cs="Times New Roman"/>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734A7"/>
    <w:pPr>
      <w:spacing w:before="4300" w:after="60"/>
      <w:outlineLvl w:val="9"/>
    </w:pPr>
    <w:rPr>
      <w:rFonts w:ascii="Georgia" w:hAnsi="Georgia"/>
      <w:b w:val="0"/>
      <w:bCs/>
      <w:caps w:val="0"/>
      <w:color w:val="264A76"/>
      <w:kern w:val="32"/>
      <w:sz w:val="44"/>
      <w:szCs w:val="44"/>
    </w:rPr>
  </w:style>
  <w:style w:type="character" w:customStyle="1" w:styleId="TitleChar">
    <w:name w:val="Title Char"/>
    <w:aliases w:val="PBO Title Char"/>
    <w:basedOn w:val="DefaultParagraphFont"/>
    <w:link w:val="Title"/>
    <w:rsid w:val="00A734A7"/>
    <w:rPr>
      <w:rFonts w:ascii="Georgia" w:eastAsia="Times New Roman" w:hAnsi="Georgia" w:cs="Times New Roman"/>
      <w:bCs/>
      <w:color w:val="264A76"/>
      <w:kern w:val="32"/>
      <w:sz w:val="44"/>
      <w:szCs w:val="44"/>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uiPriority w:val="99"/>
    <w:qFormat/>
    <w:rsid w:val="00A55569"/>
    <w:pPr>
      <w:spacing w:before="120" w:after="113"/>
    </w:pPr>
    <w:rPr>
      <w:rFonts w:eastAsia="Cambria"/>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qFormat/>
    <w:rsid w:val="00C71962"/>
    <w:pPr>
      <w:jc w:val="center"/>
    </w:pPr>
    <w:rPr>
      <w:color w:val="auto"/>
    </w:rPr>
  </w:style>
  <w:style w:type="paragraph" w:customStyle="1" w:styleId="TableText">
    <w:name w:val="Table Text"/>
    <w:basedOn w:val="Normal"/>
    <w:qFormat/>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qForma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5269">
      <w:bodyDiv w:val="1"/>
      <w:marLeft w:val="0"/>
      <w:marRight w:val="0"/>
      <w:marTop w:val="0"/>
      <w:marBottom w:val="0"/>
      <w:divBdr>
        <w:top w:val="none" w:sz="0" w:space="0" w:color="auto"/>
        <w:left w:val="none" w:sz="0" w:space="0" w:color="auto"/>
        <w:bottom w:val="none" w:sz="0" w:space="0" w:color="auto"/>
        <w:right w:val="none" w:sz="0" w:space="0" w:color="auto"/>
      </w:divBdr>
    </w:div>
    <w:div w:id="77291559">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28868213">
      <w:bodyDiv w:val="1"/>
      <w:marLeft w:val="0"/>
      <w:marRight w:val="0"/>
      <w:marTop w:val="0"/>
      <w:marBottom w:val="0"/>
      <w:divBdr>
        <w:top w:val="none" w:sz="0" w:space="0" w:color="auto"/>
        <w:left w:val="none" w:sz="0" w:space="0" w:color="auto"/>
        <w:bottom w:val="none" w:sz="0" w:space="0" w:color="auto"/>
        <w:right w:val="none" w:sz="0" w:space="0" w:color="auto"/>
      </w:divBdr>
    </w:div>
    <w:div w:id="332414468">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420641894">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587009434">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623190876">
      <w:bodyDiv w:val="1"/>
      <w:marLeft w:val="0"/>
      <w:marRight w:val="0"/>
      <w:marTop w:val="0"/>
      <w:marBottom w:val="0"/>
      <w:divBdr>
        <w:top w:val="none" w:sz="0" w:space="0" w:color="auto"/>
        <w:left w:val="none" w:sz="0" w:space="0" w:color="auto"/>
        <w:bottom w:val="none" w:sz="0" w:space="0" w:color="auto"/>
        <w:right w:val="none" w:sz="0" w:space="0" w:color="auto"/>
      </w:divBdr>
    </w:div>
    <w:div w:id="650792176">
      <w:bodyDiv w:val="1"/>
      <w:marLeft w:val="0"/>
      <w:marRight w:val="0"/>
      <w:marTop w:val="0"/>
      <w:marBottom w:val="0"/>
      <w:divBdr>
        <w:top w:val="none" w:sz="0" w:space="0" w:color="auto"/>
        <w:left w:val="none" w:sz="0" w:space="0" w:color="auto"/>
        <w:bottom w:val="none" w:sz="0" w:space="0" w:color="auto"/>
        <w:right w:val="none" w:sz="0" w:space="0" w:color="auto"/>
      </w:divBdr>
    </w:div>
    <w:div w:id="651061456">
      <w:bodyDiv w:val="1"/>
      <w:marLeft w:val="0"/>
      <w:marRight w:val="0"/>
      <w:marTop w:val="0"/>
      <w:marBottom w:val="0"/>
      <w:divBdr>
        <w:top w:val="none" w:sz="0" w:space="0" w:color="auto"/>
        <w:left w:val="none" w:sz="0" w:space="0" w:color="auto"/>
        <w:bottom w:val="none" w:sz="0" w:space="0" w:color="auto"/>
        <w:right w:val="none" w:sz="0" w:space="0" w:color="auto"/>
      </w:divBdr>
    </w:div>
    <w:div w:id="657538990">
      <w:bodyDiv w:val="1"/>
      <w:marLeft w:val="0"/>
      <w:marRight w:val="0"/>
      <w:marTop w:val="0"/>
      <w:marBottom w:val="0"/>
      <w:divBdr>
        <w:top w:val="none" w:sz="0" w:space="0" w:color="auto"/>
        <w:left w:val="none" w:sz="0" w:space="0" w:color="auto"/>
        <w:bottom w:val="none" w:sz="0" w:space="0" w:color="auto"/>
        <w:right w:val="none" w:sz="0" w:space="0" w:color="auto"/>
      </w:divBdr>
    </w:div>
    <w:div w:id="713165247">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742872543">
      <w:bodyDiv w:val="1"/>
      <w:marLeft w:val="0"/>
      <w:marRight w:val="0"/>
      <w:marTop w:val="0"/>
      <w:marBottom w:val="0"/>
      <w:divBdr>
        <w:top w:val="none" w:sz="0" w:space="0" w:color="auto"/>
        <w:left w:val="none" w:sz="0" w:space="0" w:color="auto"/>
        <w:bottom w:val="none" w:sz="0" w:space="0" w:color="auto"/>
        <w:right w:val="none" w:sz="0" w:space="0" w:color="auto"/>
      </w:divBdr>
    </w:div>
    <w:div w:id="801650745">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57739311">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74495421">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32086034">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290284960">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29821371">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2656263">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598292924">
      <w:bodyDiv w:val="1"/>
      <w:marLeft w:val="0"/>
      <w:marRight w:val="0"/>
      <w:marTop w:val="0"/>
      <w:marBottom w:val="0"/>
      <w:divBdr>
        <w:top w:val="none" w:sz="0" w:space="0" w:color="auto"/>
        <w:left w:val="none" w:sz="0" w:space="0" w:color="auto"/>
        <w:bottom w:val="none" w:sz="0" w:space="0" w:color="auto"/>
        <w:right w:val="none" w:sz="0" w:space="0" w:color="auto"/>
      </w:divBdr>
      <w:divsChild>
        <w:div w:id="120878157">
          <w:marLeft w:val="0"/>
          <w:marRight w:val="0"/>
          <w:marTop w:val="0"/>
          <w:marBottom w:val="0"/>
          <w:divBdr>
            <w:top w:val="none" w:sz="0" w:space="0" w:color="auto"/>
            <w:left w:val="none" w:sz="0" w:space="0" w:color="auto"/>
            <w:bottom w:val="none" w:sz="0" w:space="0" w:color="auto"/>
            <w:right w:val="none" w:sz="0" w:space="0" w:color="auto"/>
          </w:divBdr>
          <w:divsChild>
            <w:div w:id="1061296593">
              <w:marLeft w:val="0"/>
              <w:marRight w:val="0"/>
              <w:marTop w:val="0"/>
              <w:marBottom w:val="0"/>
              <w:divBdr>
                <w:top w:val="none" w:sz="0" w:space="0" w:color="auto"/>
                <w:left w:val="none" w:sz="0" w:space="0" w:color="auto"/>
                <w:bottom w:val="none" w:sz="0" w:space="0" w:color="auto"/>
                <w:right w:val="none" w:sz="0" w:space="0" w:color="auto"/>
              </w:divBdr>
              <w:divsChild>
                <w:div w:id="335495805">
                  <w:marLeft w:val="0"/>
                  <w:marRight w:val="0"/>
                  <w:marTop w:val="0"/>
                  <w:marBottom w:val="0"/>
                  <w:divBdr>
                    <w:top w:val="none" w:sz="0" w:space="0" w:color="auto"/>
                    <w:left w:val="none" w:sz="0" w:space="0" w:color="auto"/>
                    <w:bottom w:val="none" w:sz="0" w:space="0" w:color="auto"/>
                    <w:right w:val="none" w:sz="0" w:space="0" w:color="auto"/>
                  </w:divBdr>
                  <w:divsChild>
                    <w:div w:id="496698158">
                      <w:marLeft w:val="0"/>
                      <w:marRight w:val="0"/>
                      <w:marTop w:val="0"/>
                      <w:marBottom w:val="0"/>
                      <w:divBdr>
                        <w:top w:val="none" w:sz="0" w:space="0" w:color="auto"/>
                        <w:left w:val="none" w:sz="0" w:space="0" w:color="auto"/>
                        <w:bottom w:val="none" w:sz="0" w:space="0" w:color="auto"/>
                        <w:right w:val="none" w:sz="0" w:space="0" w:color="auto"/>
                      </w:divBdr>
                      <w:divsChild>
                        <w:div w:id="723716221">
                          <w:marLeft w:val="0"/>
                          <w:marRight w:val="0"/>
                          <w:marTop w:val="0"/>
                          <w:marBottom w:val="0"/>
                          <w:divBdr>
                            <w:top w:val="none" w:sz="0" w:space="0" w:color="auto"/>
                            <w:left w:val="none" w:sz="0" w:space="0" w:color="auto"/>
                            <w:bottom w:val="none" w:sz="0" w:space="0" w:color="auto"/>
                            <w:right w:val="none" w:sz="0" w:space="0" w:color="auto"/>
                          </w:divBdr>
                          <w:divsChild>
                            <w:div w:id="1192841736">
                              <w:marLeft w:val="0"/>
                              <w:marRight w:val="0"/>
                              <w:marTop w:val="0"/>
                              <w:marBottom w:val="0"/>
                              <w:divBdr>
                                <w:top w:val="none" w:sz="0" w:space="0" w:color="auto"/>
                                <w:left w:val="none" w:sz="0" w:space="0" w:color="auto"/>
                                <w:bottom w:val="none" w:sz="0" w:space="0" w:color="auto"/>
                                <w:right w:val="none" w:sz="0" w:space="0" w:color="auto"/>
                              </w:divBdr>
                              <w:divsChild>
                                <w:div w:id="1464693046">
                                  <w:marLeft w:val="0"/>
                                  <w:marRight w:val="0"/>
                                  <w:marTop w:val="0"/>
                                  <w:marBottom w:val="0"/>
                                  <w:divBdr>
                                    <w:top w:val="none" w:sz="0" w:space="0" w:color="auto"/>
                                    <w:left w:val="none" w:sz="0" w:space="0" w:color="auto"/>
                                    <w:bottom w:val="none" w:sz="0" w:space="0" w:color="auto"/>
                                    <w:right w:val="none" w:sz="0" w:space="0" w:color="auto"/>
                                  </w:divBdr>
                                  <w:divsChild>
                                    <w:div w:id="193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94618">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25194032">
      <w:bodyDiv w:val="1"/>
      <w:marLeft w:val="0"/>
      <w:marRight w:val="0"/>
      <w:marTop w:val="0"/>
      <w:marBottom w:val="0"/>
      <w:divBdr>
        <w:top w:val="none" w:sz="0" w:space="0" w:color="auto"/>
        <w:left w:val="none" w:sz="0" w:space="0" w:color="auto"/>
        <w:bottom w:val="none" w:sz="0" w:space="0" w:color="auto"/>
        <w:right w:val="none" w:sz="0" w:space="0" w:color="auto"/>
      </w:divBdr>
    </w:div>
    <w:div w:id="1829900659">
      <w:bodyDiv w:val="1"/>
      <w:marLeft w:val="0"/>
      <w:marRight w:val="0"/>
      <w:marTop w:val="0"/>
      <w:marBottom w:val="0"/>
      <w:divBdr>
        <w:top w:val="none" w:sz="0" w:space="0" w:color="auto"/>
        <w:left w:val="none" w:sz="0" w:space="0" w:color="auto"/>
        <w:bottom w:val="none" w:sz="0" w:space="0" w:color="auto"/>
        <w:right w:val="none" w:sz="0" w:space="0" w:color="auto"/>
      </w:divBdr>
    </w:div>
    <w:div w:id="1846094554">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891265688">
      <w:bodyDiv w:val="1"/>
      <w:marLeft w:val="0"/>
      <w:marRight w:val="0"/>
      <w:marTop w:val="0"/>
      <w:marBottom w:val="0"/>
      <w:divBdr>
        <w:top w:val="none" w:sz="0" w:space="0" w:color="auto"/>
        <w:left w:val="none" w:sz="0" w:space="0" w:color="auto"/>
        <w:bottom w:val="none" w:sz="0" w:space="0" w:color="auto"/>
        <w:right w:val="none" w:sz="0" w:space="0" w:color="auto"/>
      </w:divBdr>
    </w:div>
    <w:div w:id="1950550186">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m\AppData\Local\Hewlett-Packard\HP%20TRIM\TEMP\HPTRIM.3940\12%203624%2021%20PBO%20Normal.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422315939583212E-2"/>
          <c:y val="8.9943998500411029E-2"/>
          <c:w val="0.75994196050009644"/>
          <c:h val="0.73947657048771098"/>
        </c:manualLayout>
      </c:layout>
      <c:barChart>
        <c:barDir val="col"/>
        <c:grouping val="stacked"/>
        <c:varyColors val="0"/>
        <c:ser>
          <c:idx val="7"/>
          <c:order val="0"/>
          <c:tx>
            <c:strRef>
              <c:f>'Senate Estimates perf report'!$B$12</c:f>
              <c:strCache>
                <c:ptCount val="1"/>
                <c:pt idx="0">
                  <c:v>PSL4</c:v>
                </c:pt>
              </c:strCache>
            </c:strRef>
          </c:tx>
          <c:spPr>
            <a:solidFill>
              <a:srgbClr val="788184"/>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report'!$D$12:$G$12</c:f>
              <c:numCache>
                <c:formatCode>#,###.0_);\(#,###.0\);\-_)\ </c:formatCode>
                <c:ptCount val="4"/>
                <c:pt idx="0">
                  <c:v>0</c:v>
                </c:pt>
                <c:pt idx="1">
                  <c:v>0</c:v>
                </c:pt>
                <c:pt idx="2">
                  <c:v>0</c:v>
                </c:pt>
                <c:pt idx="3">
                  <c:v>1</c:v>
                </c:pt>
              </c:numCache>
            </c:numRef>
          </c:val>
        </c:ser>
        <c:ser>
          <c:idx val="6"/>
          <c:order val="1"/>
          <c:tx>
            <c:strRef>
              <c:f>'Senate Estimates perf report'!$B$11</c:f>
              <c:strCache>
                <c:ptCount val="1"/>
                <c:pt idx="0">
                  <c:v>PSL5</c:v>
                </c:pt>
              </c:strCache>
            </c:strRef>
          </c:tx>
          <c:spPr>
            <a:pattFill prst="wdDnDiag">
              <a:fgClr>
                <a:schemeClr val="tx1">
                  <a:lumMod val="75000"/>
                  <a:lumOff val="25000"/>
                </a:schemeClr>
              </a:fgClr>
              <a:bgClr>
                <a:schemeClr val="bg1"/>
              </a:bgClr>
            </a:patt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report'!$D$11:$G$11</c:f>
              <c:numCache>
                <c:formatCode>#,###.0_);\(#,###.0\);\-_)\ </c:formatCode>
                <c:ptCount val="4"/>
                <c:pt idx="0">
                  <c:v>0</c:v>
                </c:pt>
                <c:pt idx="1">
                  <c:v>0</c:v>
                </c:pt>
                <c:pt idx="2">
                  <c:v>0</c:v>
                </c:pt>
                <c:pt idx="3">
                  <c:v>2</c:v>
                </c:pt>
              </c:numCache>
            </c:numRef>
          </c:val>
        </c:ser>
        <c:ser>
          <c:idx val="5"/>
          <c:order val="2"/>
          <c:tx>
            <c:strRef>
              <c:f>'Senate Estimates perf report'!$B$10</c:f>
              <c:strCache>
                <c:ptCount val="1"/>
                <c:pt idx="0">
                  <c:v>PSL6</c:v>
                </c:pt>
              </c:strCache>
            </c:strRef>
          </c:tx>
          <c:spPr>
            <a:solidFill>
              <a:srgbClr val="E3D1E2"/>
            </a:solidFill>
            <a:ln w="15875" cmpd="sng">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report'!$D$10:$G$10</c:f>
              <c:numCache>
                <c:formatCode>#,###.0_);\(#,###.0\);\-_)\ </c:formatCode>
                <c:ptCount val="4"/>
                <c:pt idx="0">
                  <c:v>1</c:v>
                </c:pt>
                <c:pt idx="1">
                  <c:v>7</c:v>
                </c:pt>
                <c:pt idx="2">
                  <c:v>1</c:v>
                </c:pt>
                <c:pt idx="3">
                  <c:v>0</c:v>
                </c:pt>
              </c:numCache>
            </c:numRef>
          </c:val>
        </c:ser>
        <c:ser>
          <c:idx val="4"/>
          <c:order val="3"/>
          <c:tx>
            <c:strRef>
              <c:f>'Senate Estimates perf report'!$B$9</c:f>
              <c:strCache>
                <c:ptCount val="1"/>
                <c:pt idx="0">
                  <c:v>PEL1</c:v>
                </c:pt>
              </c:strCache>
            </c:strRef>
          </c:tx>
          <c:spPr>
            <a:solidFill>
              <a:srgbClr val="95A4C6"/>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report'!$D$9:$G$9</c:f>
              <c:numCache>
                <c:formatCode>#,###.0_);\(#,###.0\);\-_)\ </c:formatCode>
                <c:ptCount val="4"/>
                <c:pt idx="0">
                  <c:v>0</c:v>
                </c:pt>
                <c:pt idx="1">
                  <c:v>13</c:v>
                </c:pt>
                <c:pt idx="2">
                  <c:v>4</c:v>
                </c:pt>
                <c:pt idx="3">
                  <c:v>1</c:v>
                </c:pt>
              </c:numCache>
            </c:numRef>
          </c:val>
        </c:ser>
        <c:ser>
          <c:idx val="3"/>
          <c:order val="4"/>
          <c:tx>
            <c:strRef>
              <c:f>'Senate Estimates perf report'!$B$8</c:f>
              <c:strCache>
                <c:ptCount val="1"/>
                <c:pt idx="0">
                  <c:v>PEL2</c:v>
                </c:pt>
              </c:strCache>
            </c:strRef>
          </c:tx>
          <c:spPr>
            <a:solidFill>
              <a:srgbClr val="264A76"/>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report'!$D$8:$G$8</c:f>
              <c:numCache>
                <c:formatCode>#,###.0_);\(#,###.0\);\-_)\ </c:formatCode>
                <c:ptCount val="4"/>
                <c:pt idx="0">
                  <c:v>0</c:v>
                </c:pt>
                <c:pt idx="1">
                  <c:v>4</c:v>
                </c:pt>
                <c:pt idx="2">
                  <c:v>2</c:v>
                </c:pt>
                <c:pt idx="3">
                  <c:v>2</c:v>
                </c:pt>
              </c:numCache>
            </c:numRef>
          </c:val>
        </c:ser>
        <c:ser>
          <c:idx val="2"/>
          <c:order val="5"/>
          <c:tx>
            <c:strRef>
              <c:f>'Senate Estimates perf report'!$B$7</c:f>
              <c:strCache>
                <c:ptCount val="1"/>
                <c:pt idx="0">
                  <c:v>SES B1</c:v>
                </c:pt>
              </c:strCache>
            </c:strRef>
          </c:tx>
          <c:spPr>
            <a:solidFill>
              <a:srgbClr val="D7DDE9"/>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report'!$D$7:$G$7</c:f>
              <c:numCache>
                <c:formatCode>#,###.0_);\(#,###.0\);\-_)\ </c:formatCode>
                <c:ptCount val="4"/>
                <c:pt idx="0">
                  <c:v>0</c:v>
                </c:pt>
                <c:pt idx="1">
                  <c:v>2</c:v>
                </c:pt>
                <c:pt idx="2">
                  <c:v>1</c:v>
                </c:pt>
                <c:pt idx="3">
                  <c:v>1</c:v>
                </c:pt>
              </c:numCache>
            </c:numRef>
          </c:val>
        </c:ser>
        <c:ser>
          <c:idx val="1"/>
          <c:order val="6"/>
          <c:tx>
            <c:strRef>
              <c:f>'Senate Estimates perf report'!$B$6</c:f>
              <c:strCache>
                <c:ptCount val="1"/>
                <c:pt idx="0">
                  <c:v>SES B2</c:v>
                </c:pt>
              </c:strCache>
            </c:strRef>
          </c:tx>
          <c:spPr>
            <a:solidFill>
              <a:srgbClr val="751D71"/>
            </a:solidFill>
            <a:ln w="15875">
              <a:solidFill>
                <a:schemeClr val="tx1"/>
              </a:solidFill>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report'!$D$6:$G$6</c:f>
              <c:numCache>
                <c:formatCode>#,###.0_);\(#,###.0\);\-_)\ </c:formatCode>
                <c:ptCount val="4"/>
                <c:pt idx="0">
                  <c:v>0</c:v>
                </c:pt>
                <c:pt idx="1">
                  <c:v>1</c:v>
                </c:pt>
                <c:pt idx="2">
                  <c:v>1</c:v>
                </c:pt>
                <c:pt idx="3">
                  <c:v>0</c:v>
                </c:pt>
              </c:numCache>
            </c:numRef>
          </c:val>
        </c:ser>
        <c:ser>
          <c:idx val="0"/>
          <c:order val="7"/>
          <c:tx>
            <c:strRef>
              <c:f>'Senate Estimates perf report'!$B$5</c:f>
              <c:strCache>
                <c:ptCount val="1"/>
                <c:pt idx="0">
                  <c:v>PBO</c:v>
                </c:pt>
              </c:strCache>
            </c:strRef>
          </c:tx>
          <c:spPr>
            <a:solidFill>
              <a:schemeClr val="tx1"/>
            </a:solidFill>
            <a:ln w="15875" cmpd="sng">
              <a:solidFill>
                <a:schemeClr val="tx1"/>
              </a:solidFill>
              <a:prstDash val="solid"/>
            </a:ln>
          </c:spPr>
          <c:invertIfNegative val="0"/>
          <c:cat>
            <c:strRef>
              <c:f>'Senate Estimates perf report'!$D$4:$G$4</c:f>
              <c:strCache>
                <c:ptCount val="4"/>
                <c:pt idx="0">
                  <c:v>PBO Executive</c:v>
                </c:pt>
                <c:pt idx="1">
                  <c:v>Budget Analysis Division</c:v>
                </c:pt>
                <c:pt idx="2">
                  <c:v>Fiscal Policy Analysis Division</c:v>
                </c:pt>
                <c:pt idx="3">
                  <c:v>Corporate Strategy Branch</c:v>
                </c:pt>
              </c:strCache>
            </c:strRef>
          </c:cat>
          <c:val>
            <c:numRef>
              <c:f>'Senate Estimates perf report'!$D$5:$G$5</c:f>
              <c:numCache>
                <c:formatCode>#,###.0_);\(#,###.0\);\-_)\ </c:formatCode>
                <c:ptCount val="4"/>
                <c:pt idx="0">
                  <c:v>1</c:v>
                </c:pt>
                <c:pt idx="1">
                  <c:v>0</c:v>
                </c:pt>
                <c:pt idx="2">
                  <c:v>0</c:v>
                </c:pt>
                <c:pt idx="3">
                  <c:v>0</c:v>
                </c:pt>
              </c:numCache>
            </c:numRef>
          </c:val>
        </c:ser>
        <c:dLbls>
          <c:showLegendKey val="0"/>
          <c:showVal val="0"/>
          <c:showCatName val="0"/>
          <c:showSerName val="0"/>
          <c:showPercent val="0"/>
          <c:showBubbleSize val="0"/>
        </c:dLbls>
        <c:gapWidth val="150"/>
        <c:overlap val="100"/>
        <c:axId val="34495488"/>
        <c:axId val="34501376"/>
      </c:barChart>
      <c:catAx>
        <c:axId val="34495488"/>
        <c:scaling>
          <c:orientation val="minMax"/>
        </c:scaling>
        <c:delete val="0"/>
        <c:axPos val="b"/>
        <c:majorTickMark val="out"/>
        <c:minorTickMark val="none"/>
        <c:tickLblPos val="nextTo"/>
        <c:txPr>
          <a:bodyPr/>
          <a:lstStyle/>
          <a:p>
            <a:pPr>
              <a:defRPr sz="1000">
                <a:latin typeface="+mn-lt"/>
                <a:cs typeface="Arial" panose="020B0604020202020204" pitchFamily="34" charset="0"/>
              </a:defRPr>
            </a:pPr>
            <a:endParaRPr lang="en-US"/>
          </a:p>
        </c:txPr>
        <c:crossAx val="34501376"/>
        <c:crosses val="autoZero"/>
        <c:auto val="1"/>
        <c:lblAlgn val="ctr"/>
        <c:lblOffset val="100"/>
        <c:noMultiLvlLbl val="0"/>
      </c:catAx>
      <c:valAx>
        <c:axId val="34501376"/>
        <c:scaling>
          <c:orientation val="minMax"/>
        </c:scaling>
        <c:delete val="0"/>
        <c:axPos val="l"/>
        <c:majorGridlines/>
        <c:numFmt formatCode="#,###_);\(#,###\);0_);" sourceLinked="0"/>
        <c:majorTickMark val="out"/>
        <c:minorTickMark val="none"/>
        <c:tickLblPos val="nextTo"/>
        <c:spPr>
          <a:ln>
            <a:noFill/>
          </a:ln>
        </c:spPr>
        <c:txPr>
          <a:bodyPr/>
          <a:lstStyle/>
          <a:p>
            <a:pPr>
              <a:defRPr>
                <a:latin typeface="Arial" panose="020B0604020202020204" pitchFamily="34" charset="0"/>
                <a:cs typeface="Arial" panose="020B0604020202020204" pitchFamily="34" charset="0"/>
              </a:defRPr>
            </a:pPr>
            <a:endParaRPr lang="en-US"/>
          </a:p>
        </c:txPr>
        <c:crossAx val="34495488"/>
        <c:crosses val="autoZero"/>
        <c:crossBetween val="between"/>
        <c:majorUnit val="5"/>
      </c:valAx>
    </c:plotArea>
    <c:legend>
      <c:legendPos val="r"/>
      <c:legendEntry>
        <c:idx val="0"/>
        <c:txPr>
          <a:bodyPr/>
          <a:lstStyle/>
          <a:p>
            <a:pPr>
              <a:defRPr sz="1200" baseline="0">
                <a:latin typeface="Calibri" panose="020F0502020204030204" pitchFamily="34" charset="0"/>
              </a:defRPr>
            </a:pPr>
            <a:endParaRPr lang="en-US"/>
          </a:p>
        </c:txPr>
      </c:legendEntry>
      <c:layout>
        <c:manualLayout>
          <c:xMode val="edge"/>
          <c:yMode val="edge"/>
          <c:x val="0.84116120100372072"/>
          <c:y val="5.6748505087791515E-2"/>
          <c:w val="0.15883881962822621"/>
          <c:h val="0.88645200125700985"/>
        </c:manualLayout>
      </c:layout>
      <c:overlay val="0"/>
      <c:spPr>
        <a:ln w="0"/>
      </c:spPr>
      <c:txPr>
        <a:bodyPr/>
        <a:lstStyle/>
        <a:p>
          <a:pPr>
            <a:defRPr sz="1200" baseline="0">
              <a:latin typeface="Calibri" panose="020F0502020204030204" pitchFamily="34"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F61FC-DE0B-4226-99BE-B7F87D21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3624 21 PBO Normal.DOTX</Template>
  <TotalTime>1</TotalTime>
  <Pages>8</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Report to the Senate Finance and Public Administration Legislation Committee on PBO activity 12 October 2016</vt:lpstr>
    </vt:vector>
  </TitlesOfParts>
  <Company>Parliament of Australia</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Senate Finance and Public Administration Legislation Committee on PBO activity 12 October 2016</dc:title>
  <dc:creator>Parliamentary Budget Office</dc:creator>
  <cp:lastModifiedBy>Milligan, Louise (PBO)</cp:lastModifiedBy>
  <cp:revision>3</cp:revision>
  <cp:lastPrinted>2016-10-07T05:41:00Z</cp:lastPrinted>
  <dcterms:created xsi:type="dcterms:W3CDTF">2016-10-17T05:01:00Z</dcterms:created>
  <dcterms:modified xsi:type="dcterms:W3CDTF">2016-10-17T05:14:00Z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