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8C" w:rsidRPr="004900FE" w:rsidRDefault="003B3684" w:rsidP="00831489">
      <w:pPr>
        <w:pStyle w:val="ChartGraphic"/>
        <w:spacing w:before="600" w:after="240"/>
      </w:pPr>
      <w:r>
        <w:rPr>
          <w:noProof/>
        </w:rPr>
        <w:drawing>
          <wp:inline distT="0" distB="0" distL="0" distR="0" wp14:anchorId="4AB67112" wp14:editId="63CA68A0">
            <wp:extent cx="2074975" cy="2419831"/>
            <wp:effectExtent l="0" t="0" r="190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74975" cy="2419831"/>
                    </a:xfrm>
                    <a:prstGeom prst="rect">
                      <a:avLst/>
                    </a:prstGeom>
                    <a:noFill/>
                    <a:ln>
                      <a:noFill/>
                    </a:ln>
                    <a:extLst>
                      <a:ext uri="{53640926-AAD7-44D8-BBD7-CCE9431645EC}">
                        <a14:shadowObscured xmlns:a14="http://schemas.microsoft.com/office/drawing/2010/main"/>
                      </a:ext>
                    </a:extLst>
                  </pic:spPr>
                </pic:pic>
              </a:graphicData>
            </a:graphic>
          </wp:inline>
        </w:drawing>
      </w:r>
    </w:p>
    <w:p w:rsidR="0001438C" w:rsidRPr="008F56A2" w:rsidRDefault="0001438C" w:rsidP="007F7481">
      <w:pPr>
        <w:pStyle w:val="TPHeading2"/>
        <w:spacing w:before="84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264BB2">
        <w:rPr>
          <w:rFonts w:ascii="Book Antiqua" w:hAnsi="Book Antiqua"/>
          <w:b/>
          <w:caps w:val="0"/>
          <w:sz w:val="32"/>
          <w:szCs w:val="36"/>
        </w:rPr>
        <w:t>2020-21</w:t>
      </w:r>
    </w:p>
    <w:p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Pr="008F56A2">
        <w:rPr>
          <w:rFonts w:ascii="Book Antiqua" w:hAnsi="Book Antiqua"/>
          <w:b/>
          <w:caps w:val="0"/>
          <w:sz w:val="32"/>
          <w:szCs w:val="36"/>
        </w:rPr>
        <w:t>No. 1.</w:t>
      </w:r>
      <w:r w:rsidR="000B70A5">
        <w:rPr>
          <w:rFonts w:ascii="Book Antiqua" w:hAnsi="Book Antiqua"/>
          <w:b/>
          <w:caps w:val="0"/>
          <w:sz w:val="32"/>
          <w:szCs w:val="36"/>
        </w:rPr>
        <w:t>1</w:t>
      </w:r>
      <w:r w:rsidR="00F15D2B">
        <w:rPr>
          <w:rFonts w:ascii="Book Antiqua" w:hAnsi="Book Antiqua"/>
          <w:b/>
          <w:caps w:val="0"/>
          <w:sz w:val="32"/>
          <w:szCs w:val="36"/>
        </w:rPr>
        <w:t>4</w:t>
      </w:r>
      <w:r w:rsidR="000B70A5">
        <w:rPr>
          <w:rFonts w:ascii="Book Antiqua" w:hAnsi="Book Antiqua"/>
          <w:b/>
          <w:caps w:val="0"/>
          <w:sz w:val="32"/>
          <w:szCs w:val="36"/>
        </w:rPr>
        <w:t>D</w:t>
      </w:r>
    </w:p>
    <w:p w:rsidR="004900FE" w:rsidRPr="008F56A2" w:rsidRDefault="00AB3AF4" w:rsidP="004900FE">
      <w:pPr>
        <w:pStyle w:val="TPHeading2"/>
        <w:spacing w:before="240"/>
        <w:rPr>
          <w:rFonts w:ascii="Book Antiqua" w:hAnsi="Book Antiqua"/>
          <w:caps w:val="0"/>
          <w:sz w:val="32"/>
          <w:szCs w:val="36"/>
        </w:rPr>
      </w:pPr>
      <w:r>
        <w:rPr>
          <w:rFonts w:ascii="Book Antiqua" w:hAnsi="Book Antiqua"/>
          <w:sz w:val="32"/>
          <w:szCs w:val="36"/>
        </w:rPr>
        <w:t>PARLIAMENTARY BUDGET OFFICE</w:t>
      </w:r>
    </w:p>
    <w:p w:rsidR="0001438C" w:rsidRPr="008F56A2" w:rsidRDefault="00B30944" w:rsidP="004900FE">
      <w:pPr>
        <w:pStyle w:val="TPHeading3"/>
        <w:spacing w:before="2640"/>
        <w:jc w:val="center"/>
        <w:rPr>
          <w:rFonts w:ascii="Book Antiqua" w:hAnsi="Book Antiqua"/>
          <w:sz w:val="22"/>
          <w:szCs w:val="24"/>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p>
    <w:p w:rsidR="0001438C" w:rsidRPr="008F56A2" w:rsidRDefault="00D70BF5" w:rsidP="00B30944">
      <w:pPr>
        <w:pStyle w:val="TPHeading3"/>
        <w:jc w:val="center"/>
        <w:rPr>
          <w:rFonts w:ascii="Book Antiqua" w:hAnsi="Book Antiqua"/>
          <w:sz w:val="22"/>
          <w:szCs w:val="24"/>
        </w:rPr>
      </w:pPr>
      <w:r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Pr="008F56A2">
        <w:rPr>
          <w:rFonts w:ascii="Book Antiqua" w:hAnsi="Book Antiqua"/>
          <w:caps w:val="0"/>
          <w:sz w:val="22"/>
          <w:szCs w:val="24"/>
        </w:rPr>
        <w:t>Outcomes</w:t>
      </w:r>
    </w:p>
    <w:p w:rsidR="0001438C" w:rsidRPr="008F56A2" w:rsidRDefault="00362AA7" w:rsidP="00B30944">
      <w:pPr>
        <w:pStyle w:val="TPHeading3"/>
        <w:jc w:val="center"/>
        <w:rPr>
          <w:rFonts w:ascii="Book Antiqua" w:hAnsi="Book Antiqua"/>
          <w:sz w:val="20"/>
          <w:szCs w:val="22"/>
        </w:rPr>
      </w:pPr>
      <w:proofErr w:type="gramStart"/>
      <w:r w:rsidRPr="008F56A2">
        <w:rPr>
          <w:rFonts w:ascii="Book Antiqua" w:hAnsi="Book Antiqua"/>
          <w:caps w:val="0"/>
          <w:sz w:val="22"/>
          <w:szCs w:val="24"/>
        </w:rPr>
        <w:t>and</w:t>
      </w:r>
      <w:proofErr w:type="gramEnd"/>
      <w:r w:rsidRPr="008F56A2">
        <w:rPr>
          <w:rFonts w:ascii="Book Antiqua" w:hAnsi="Book Antiqua"/>
          <w:caps w:val="0"/>
          <w:sz w:val="22"/>
          <w:szCs w:val="24"/>
        </w:rPr>
        <w:t xml:space="preserve">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rsidR="00D50C9B" w:rsidRDefault="00D50C9B" w:rsidP="00D50C9B">
      <w:pPr>
        <w:sectPr w:rsidR="00D50C9B" w:rsidSect="004900FE">
          <w:headerReference w:type="even" r:id="rId12"/>
          <w:headerReference w:type="default" r:id="rId13"/>
          <w:footerReference w:type="default" r:id="rId14"/>
          <w:headerReference w:type="first" r:id="rId15"/>
          <w:pgSz w:w="11906" w:h="16838" w:code="9"/>
          <w:pgMar w:top="2466" w:right="2098" w:bottom="2466" w:left="2098" w:header="1899" w:footer="1899" w:gutter="0"/>
          <w:cols w:space="708"/>
          <w:titlePg/>
          <w:docGrid w:linePitch="360"/>
        </w:sectPr>
      </w:pPr>
    </w:p>
    <w:p w:rsidR="00C42D37" w:rsidRPr="00982F10" w:rsidRDefault="0012022D" w:rsidP="00C42D37">
      <w:r w:rsidRPr="00982F10">
        <w:lastRenderedPageBreak/>
        <w:t>© Commonwealth of Australia</w:t>
      </w:r>
      <w:r w:rsidR="00340640">
        <w:t xml:space="preserve"> </w:t>
      </w:r>
      <w:r w:rsidR="00264BB2">
        <w:t>2020</w:t>
      </w:r>
    </w:p>
    <w:p w:rsidR="00C42D37" w:rsidRPr="00982F10" w:rsidRDefault="005731D3" w:rsidP="00C42D37">
      <w:r>
        <w:t>ISS</w:t>
      </w:r>
      <w:r w:rsidR="0012022D" w:rsidRPr="00982F10">
        <w:t xml:space="preserve">N </w:t>
      </w:r>
      <w:r w:rsidR="000B70A5" w:rsidRPr="0020461D">
        <w:rPr>
          <w:color w:val="000000" w:themeColor="text1"/>
        </w:rPr>
        <w:t>2207-6565 (print); 2207-6573 (online)</w:t>
      </w:r>
    </w:p>
    <w:p w:rsidR="00C42D37" w:rsidRPr="00FA63B6" w:rsidRDefault="0012022D" w:rsidP="005D13ED">
      <w:pPr>
        <w:tabs>
          <w:tab w:val="left" w:pos="1650"/>
        </w:tabs>
        <w:spacing w:before="100" w:beforeAutospacing="1" w:after="100" w:afterAutospacing="1"/>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6"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rsidR="000B70A5" w:rsidRPr="0020461D">
        <w:rPr>
          <w:color w:val="000000" w:themeColor="text1"/>
        </w:rPr>
        <w:t>Parliamentary Budget Office (PBO)</w:t>
      </w:r>
      <w:r w:rsidR="000B70A5">
        <w:rPr>
          <w:color w:val="000000" w:themeColor="text1"/>
        </w:rPr>
        <w:t xml:space="preserve"> </w:t>
      </w:r>
      <w:r w:rsidRPr="00774A83">
        <w:t>logo, photographs, images, signatures and where otherwise stated. The full licence terms are available from</w:t>
      </w:r>
      <w:r w:rsidRPr="00774A83">
        <w:rPr>
          <w:rStyle w:val="A5"/>
          <w:rFonts w:ascii="Calibri" w:hAnsi="Calibri" w:cs="Calibri"/>
          <w:sz w:val="24"/>
          <w:szCs w:val="24"/>
        </w:rPr>
        <w:t xml:space="preserve"> </w:t>
      </w:r>
      <w:hyperlink r:id="rId17" w:history="1">
        <w:r w:rsidRPr="00774A83">
          <w:rPr>
            <w:rStyle w:val="Hyperlink"/>
          </w:rPr>
          <w:t>http://creativecommons.org/licenses/by/3.0/au/legalcode</w:t>
        </w:r>
      </w:hyperlink>
      <w:r w:rsidRPr="00774A83">
        <w:rPr>
          <w:rStyle w:val="Hyperlink"/>
        </w:rPr>
        <w:t>.</w:t>
      </w:r>
    </w:p>
    <w:p w:rsidR="00C42D37" w:rsidRPr="00FA63B6" w:rsidRDefault="003B3684" w:rsidP="00C42D37">
      <w:pPr>
        <w:tabs>
          <w:tab w:val="left" w:pos="1650"/>
        </w:tabs>
        <w:spacing w:before="100" w:beforeAutospacing="1" w:after="100" w:afterAutospacing="1" w:line="240" w:lineRule="auto"/>
        <w:rPr>
          <w:rFonts w:cs="Calibri"/>
        </w:rPr>
      </w:pPr>
      <w:r>
        <w:rPr>
          <w:rFonts w:cs="Calibri"/>
          <w:noProof/>
        </w:rPr>
        <w:drawing>
          <wp:inline distT="0" distB="0" distL="0" distR="0" wp14:anchorId="2FB60C39" wp14:editId="75FFB17C">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rsidR="00C42D37" w:rsidRPr="00FA63B6" w:rsidRDefault="0012022D" w:rsidP="00C42D37">
      <w:pPr>
        <w:tabs>
          <w:tab w:val="left" w:pos="1650"/>
        </w:tabs>
        <w:spacing w:before="100" w:beforeAutospacing="1" w:after="100" w:afterAutospacing="1"/>
        <w:rPr>
          <w:sz w:val="22"/>
          <w:szCs w:val="22"/>
        </w:rPr>
      </w:pPr>
      <w:r w:rsidRPr="00774A83">
        <w:t xml:space="preserve">Use of </w:t>
      </w:r>
      <w:r w:rsidR="000B70A5" w:rsidRPr="000B70A5">
        <w:rPr>
          <w:color w:val="000000" w:themeColor="text1"/>
        </w:rPr>
        <w:t>PBO</w:t>
      </w:r>
      <w:r w:rsidR="000B70A5">
        <w:rPr>
          <w:color w:val="FF0000"/>
        </w:rPr>
        <w:t xml:space="preserve"> </w:t>
      </w:r>
      <w:r w:rsidRPr="00774A83">
        <w:t>material under a</w:t>
      </w:r>
      <w:r w:rsidRPr="00774A83">
        <w:rPr>
          <w:rFonts w:cs="Calibri"/>
          <w:color w:val="000000"/>
          <w:sz w:val="24"/>
          <w:szCs w:val="24"/>
        </w:rPr>
        <w:t xml:space="preserve"> </w:t>
      </w:r>
      <w:hyperlink r:id="rId19"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rsidR="000B70A5" w:rsidRPr="000B70A5">
        <w:rPr>
          <w:color w:val="000000" w:themeColor="text1"/>
        </w:rPr>
        <w:t>PBO</w:t>
      </w:r>
      <w:r w:rsidR="000B70A5" w:rsidRPr="00774A83">
        <w:t xml:space="preserve"> </w:t>
      </w:r>
      <w:r w:rsidRPr="00774A83">
        <w:t>endorses you or your use of the work).</w:t>
      </w:r>
    </w:p>
    <w:p w:rsidR="00C42D37" w:rsidRPr="00982F10" w:rsidRDefault="000B70A5" w:rsidP="00423003">
      <w:pPr>
        <w:ind w:left="567"/>
        <w:rPr>
          <w:i/>
        </w:rPr>
      </w:pPr>
      <w:r w:rsidRPr="008338F4">
        <w:rPr>
          <w:i/>
          <w:color w:val="000000" w:themeColor="text1"/>
        </w:rPr>
        <w:t>PBO</w:t>
      </w:r>
      <w:r w:rsidR="0012022D" w:rsidRPr="008338F4">
        <w:rPr>
          <w:i/>
        </w:rPr>
        <w:t xml:space="preserve"> </w:t>
      </w:r>
      <w:r w:rsidR="0012022D" w:rsidRPr="00982F10">
        <w:rPr>
          <w:i/>
        </w:rPr>
        <w:t>material used 'as supplied'</w:t>
      </w:r>
    </w:p>
    <w:p w:rsidR="00C42D37" w:rsidRPr="00982F10" w:rsidRDefault="0012022D" w:rsidP="00C42D37">
      <w:r w:rsidRPr="00982F10">
        <w:t xml:space="preserve">Provided you have not modified or transformed </w:t>
      </w:r>
      <w:r w:rsidR="000B70A5" w:rsidRPr="000B70A5">
        <w:rPr>
          <w:color w:val="000000" w:themeColor="text1"/>
        </w:rPr>
        <w:t>PBO</w:t>
      </w:r>
      <w:r w:rsidRPr="00982F10">
        <w:t xml:space="preserve"> material in any way including, for example, by changing the </w:t>
      </w:r>
      <w:r w:rsidR="000B70A5" w:rsidRPr="000B70A5">
        <w:rPr>
          <w:color w:val="000000" w:themeColor="text1"/>
        </w:rPr>
        <w:t>PBO</w:t>
      </w:r>
      <w:r w:rsidRPr="00982F10">
        <w:t xml:space="preserve"> text; calculating percentage changes; graphing or charting data; or deriving new statistics from published </w:t>
      </w:r>
      <w:r w:rsidR="000B70A5" w:rsidRPr="000B70A5">
        <w:rPr>
          <w:color w:val="000000" w:themeColor="text1"/>
        </w:rPr>
        <w:t>PBO</w:t>
      </w:r>
      <w:r w:rsidRPr="00982F10">
        <w:t xml:space="preserve"> statistics – then </w:t>
      </w:r>
      <w:r w:rsidR="000B70A5" w:rsidRPr="000B70A5">
        <w:rPr>
          <w:color w:val="000000" w:themeColor="text1"/>
        </w:rPr>
        <w:t>PBO</w:t>
      </w:r>
      <w:r w:rsidRPr="00982F10">
        <w:t xml:space="preserve"> pre</w:t>
      </w:r>
      <w:r w:rsidR="00831489">
        <w:t>fers the following attribution:</w:t>
      </w:r>
    </w:p>
    <w:p w:rsidR="00C42D37" w:rsidRPr="00982F10" w:rsidRDefault="0012022D" w:rsidP="00423003">
      <w:pPr>
        <w:ind w:left="567"/>
        <w:rPr>
          <w:color w:val="FF0000"/>
        </w:rPr>
      </w:pPr>
      <w:r w:rsidRPr="00982F10">
        <w:rPr>
          <w:i/>
        </w:rPr>
        <w:t xml:space="preserve">Source: </w:t>
      </w:r>
      <w:r w:rsidR="000B70A5">
        <w:rPr>
          <w:i/>
        </w:rPr>
        <w:t>Parliament of Australia, Parliamentary Budget Office</w:t>
      </w:r>
    </w:p>
    <w:p w:rsidR="00C42D37" w:rsidRPr="00774A83" w:rsidRDefault="0012022D" w:rsidP="005731D3">
      <w:pPr>
        <w:spacing w:after="120"/>
        <w:rPr>
          <w:b/>
        </w:rPr>
      </w:pPr>
      <w:r w:rsidRPr="00774A83">
        <w:rPr>
          <w:b/>
        </w:rPr>
        <w:t>Derivative material</w:t>
      </w:r>
    </w:p>
    <w:p w:rsidR="00C42D37" w:rsidRPr="00982F10" w:rsidRDefault="0012022D" w:rsidP="00C42D37">
      <w:r w:rsidRPr="00982F10">
        <w:t xml:space="preserve">If you have modified or transformed </w:t>
      </w:r>
      <w:r w:rsidR="000B70A5" w:rsidRPr="000B70A5">
        <w:rPr>
          <w:color w:val="000000" w:themeColor="text1"/>
        </w:rPr>
        <w:t>PBO</w:t>
      </w:r>
      <w:r w:rsidRPr="00982F10">
        <w:t xml:space="preserve"> material, or derived new material from those of the </w:t>
      </w:r>
      <w:r w:rsidR="000B70A5" w:rsidRPr="000B70A5">
        <w:rPr>
          <w:color w:val="000000" w:themeColor="text1"/>
        </w:rPr>
        <w:t>PBO</w:t>
      </w:r>
      <w:r w:rsidRPr="00982F10">
        <w:t xml:space="preserve"> in any way, then </w:t>
      </w:r>
      <w:r w:rsidR="000B70A5" w:rsidRPr="000B70A5">
        <w:rPr>
          <w:color w:val="000000" w:themeColor="text1"/>
        </w:rPr>
        <w:t>PBO</w:t>
      </w:r>
      <w:r w:rsidRPr="00982F10">
        <w:t xml:space="preserve"> pre</w:t>
      </w:r>
      <w:r w:rsidR="00831489">
        <w:t>fers the following attribution:</w:t>
      </w:r>
    </w:p>
    <w:p w:rsidR="00C42D37" w:rsidRPr="00982F10" w:rsidRDefault="0012022D" w:rsidP="00423003">
      <w:pPr>
        <w:ind w:left="567"/>
        <w:rPr>
          <w:color w:val="FF0000"/>
        </w:rPr>
      </w:pPr>
      <w:r w:rsidRPr="00982F10">
        <w:rPr>
          <w:i/>
        </w:rPr>
        <w:t xml:space="preserve">Based on </w:t>
      </w:r>
      <w:r w:rsidR="007550E1">
        <w:rPr>
          <w:i/>
        </w:rPr>
        <w:t>Parliament of Australia, Parliamentary Budget Office data</w:t>
      </w:r>
    </w:p>
    <w:p w:rsidR="00C42D37" w:rsidRPr="00982F10" w:rsidRDefault="0012022D" w:rsidP="003F3AA9">
      <w:pPr>
        <w:spacing w:after="120"/>
        <w:jc w:val="left"/>
        <w:rPr>
          <w:b/>
        </w:rPr>
      </w:pPr>
      <w:r w:rsidRPr="00982F10">
        <w:rPr>
          <w:b/>
        </w:rPr>
        <w:t>Use of the Coat of Arms</w:t>
      </w:r>
    </w:p>
    <w:p w:rsidR="00C42D37" w:rsidRPr="00982F10" w:rsidRDefault="00C00B3B" w:rsidP="003F3AA9">
      <w:pPr>
        <w:jc w:val="left"/>
      </w:pPr>
      <w:r w:rsidRPr="00C00B3B">
        <w:t>The terms under which the Coat of Arms can be used are set</w:t>
      </w:r>
      <w:r w:rsidR="00CC6371">
        <w:t xml:space="preserve"> </w:t>
      </w:r>
      <w:r w:rsidRPr="00C00B3B">
        <w:t>out</w:t>
      </w:r>
      <w:r w:rsidR="00CC6371">
        <w:t xml:space="preserve"> </w:t>
      </w:r>
      <w:r w:rsidRPr="00C00B3B">
        <w:t>on</w:t>
      </w:r>
      <w:r w:rsidR="00CC6371">
        <w:t xml:space="preserve"> </w:t>
      </w:r>
      <w:r w:rsidRPr="00C00B3B">
        <w:t>the Department</w:t>
      </w:r>
      <w:r w:rsidR="00CC6371">
        <w:t xml:space="preserve"> </w:t>
      </w:r>
      <w:r w:rsidRPr="00C00B3B">
        <w:t>of the Prime Minister and Cabinet website</w:t>
      </w:r>
      <w:r w:rsidR="00724257">
        <w:t xml:space="preserve"> </w:t>
      </w:r>
      <w:r w:rsidR="003F3AA9">
        <w:br/>
      </w:r>
      <w:r w:rsidRPr="00C00B3B">
        <w:t>(see</w:t>
      </w:r>
      <w:r w:rsidR="00CC2A06">
        <w:t xml:space="preserve"> </w:t>
      </w:r>
      <w:hyperlink r:id="rId20" w:history="1">
        <w:r w:rsidRPr="007B2930">
          <w:rPr>
            <w:rStyle w:val="Hyperlink"/>
          </w:rPr>
          <w:t>www.pmc.gov.au/government/commonwealth-coat-arms</w:t>
        </w:r>
      </w:hyperlink>
      <w:r w:rsidR="0012022D" w:rsidRPr="00982F10">
        <w:t>)</w:t>
      </w:r>
      <w:r w:rsidR="00FE3DE9">
        <w:t>.</w:t>
      </w:r>
    </w:p>
    <w:p w:rsidR="00C42D37" w:rsidRPr="00982F10" w:rsidRDefault="008E07C6" w:rsidP="005731D3">
      <w:pPr>
        <w:spacing w:after="120"/>
        <w:rPr>
          <w:b/>
        </w:rPr>
      </w:pPr>
      <w:r>
        <w:rPr>
          <w:b/>
        </w:rPr>
        <w:t xml:space="preserve">Other </w:t>
      </w:r>
      <w:r w:rsidR="00D81071">
        <w:rPr>
          <w:b/>
        </w:rPr>
        <w:t>u</w:t>
      </w:r>
      <w:r w:rsidR="00D81071" w:rsidRPr="00982F10">
        <w:rPr>
          <w:b/>
        </w:rPr>
        <w:t>ses</w:t>
      </w:r>
    </w:p>
    <w:p w:rsidR="00C42D37" w:rsidRPr="00982F10" w:rsidRDefault="00EE22E3" w:rsidP="00C42D37">
      <w:r>
        <w:t>E</w:t>
      </w:r>
      <w:r w:rsidR="0012022D" w:rsidRPr="00982F10">
        <w:t>nquiries regarding this licence and any other use of this document are welcome at:</w:t>
      </w:r>
    </w:p>
    <w:p w:rsidR="00E20628" w:rsidRPr="009223D0" w:rsidRDefault="007550E1" w:rsidP="00704C1F">
      <w:pPr>
        <w:jc w:val="left"/>
        <w:rPr>
          <w:color w:val="000000" w:themeColor="text1"/>
        </w:rPr>
        <w:sectPr w:rsidR="00E20628" w:rsidRPr="009223D0" w:rsidSect="0050346A">
          <w:headerReference w:type="even" r:id="rId21"/>
          <w:headerReference w:type="default" r:id="rId22"/>
          <w:headerReference w:type="first" r:id="rId23"/>
          <w:pgSz w:w="11906" w:h="16838" w:code="9"/>
          <w:pgMar w:top="2466" w:right="2098" w:bottom="2466" w:left="2098" w:header="1899" w:footer="1899" w:gutter="0"/>
          <w:cols w:space="708"/>
          <w:docGrid w:linePitch="360"/>
        </w:sectPr>
      </w:pPr>
      <w:r w:rsidRPr="007550E1">
        <w:rPr>
          <w:color w:val="000000" w:themeColor="text1"/>
        </w:rPr>
        <w:t>Amanda Bruce, Acting Assistant Parliamentary Budget Officer, (02) 6277 9520</w:t>
      </w:r>
      <w:r w:rsidR="00704C1F">
        <w:rPr>
          <w:color w:val="000000" w:themeColor="text1"/>
        </w:rPr>
        <w:t>.</w:t>
      </w: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lastRenderedPageBreak/>
        <w:t>The Hon Tony Smith MP</w:t>
      </w: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 xml:space="preserve">Speaker of the House of Representatives </w:t>
      </w: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Parliament House</w:t>
      </w:r>
    </w:p>
    <w:p w:rsidR="00BA4B09" w:rsidRDefault="00BA4B09" w:rsidP="00BA4B09">
      <w:pPr>
        <w:spacing w:after="0" w:line="276" w:lineRule="auto"/>
        <w:rPr>
          <w:rFonts w:asciiTheme="minorHAnsi" w:hAnsiTheme="minorHAnsi"/>
          <w:sz w:val="22"/>
          <w:szCs w:val="22"/>
        </w:rPr>
      </w:pPr>
      <w:proofErr w:type="gramStart"/>
      <w:r>
        <w:rPr>
          <w:rFonts w:asciiTheme="minorHAnsi" w:hAnsiTheme="minorHAnsi"/>
          <w:sz w:val="22"/>
          <w:szCs w:val="22"/>
        </w:rPr>
        <w:t>CANBERRA  ACT</w:t>
      </w:r>
      <w:proofErr w:type="gramEnd"/>
      <w:r>
        <w:rPr>
          <w:rFonts w:asciiTheme="minorHAnsi" w:hAnsiTheme="minorHAnsi"/>
          <w:sz w:val="22"/>
          <w:szCs w:val="22"/>
        </w:rPr>
        <w:t xml:space="preserve">  2600</w:t>
      </w:r>
    </w:p>
    <w:p w:rsidR="00BA4B09" w:rsidRDefault="00BA4B09" w:rsidP="00BA4B09">
      <w:pPr>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Senator the Hon Scott Ryan</w:t>
      </w: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President of the Senate</w:t>
      </w: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Parliament House</w:t>
      </w:r>
    </w:p>
    <w:p w:rsidR="00BA4B09" w:rsidRDefault="00BA4B09" w:rsidP="00BA4B09">
      <w:pPr>
        <w:spacing w:after="0" w:line="276" w:lineRule="auto"/>
        <w:rPr>
          <w:rFonts w:asciiTheme="minorHAnsi" w:hAnsiTheme="minorHAnsi"/>
          <w:sz w:val="22"/>
          <w:szCs w:val="22"/>
        </w:rPr>
      </w:pPr>
      <w:proofErr w:type="gramStart"/>
      <w:r>
        <w:rPr>
          <w:rFonts w:asciiTheme="minorHAnsi" w:hAnsiTheme="minorHAnsi"/>
          <w:sz w:val="22"/>
          <w:szCs w:val="22"/>
        </w:rPr>
        <w:t>CANBERRA  ACT</w:t>
      </w:r>
      <w:proofErr w:type="gramEnd"/>
      <w:r>
        <w:rPr>
          <w:rFonts w:asciiTheme="minorHAnsi" w:hAnsiTheme="minorHAnsi"/>
          <w:sz w:val="22"/>
          <w:szCs w:val="22"/>
        </w:rPr>
        <w:t xml:space="preserve">  2600</w:t>
      </w: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Dear Mr Speaker and Mr President</w:t>
      </w: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I hereby submit Portfolio Budget Statements in support of the 2020–21 Budget for the Parliamentary Budget Office.</w:t>
      </w: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I present these statements to provide accountability to the Parliament and, through it, the public.</w:t>
      </w: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Yours sincerely</w:t>
      </w: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p>
    <w:p w:rsidR="00BA4B09" w:rsidRDefault="00BA4B09" w:rsidP="00BA4B09">
      <w:pPr>
        <w:spacing w:after="0" w:line="276" w:lineRule="auto"/>
        <w:rPr>
          <w:rFonts w:asciiTheme="minorHAnsi" w:hAnsiTheme="minorHAnsi"/>
          <w:sz w:val="22"/>
          <w:szCs w:val="22"/>
        </w:rPr>
      </w:pPr>
      <w:r>
        <w:rPr>
          <w:rFonts w:asciiTheme="minorHAnsi" w:hAnsiTheme="minorHAnsi"/>
          <w:sz w:val="22"/>
          <w:szCs w:val="22"/>
        </w:rPr>
        <w:t>Linda Ward</w:t>
      </w:r>
    </w:p>
    <w:p w:rsidR="00BA4B09" w:rsidRDefault="005912B6" w:rsidP="00BA4B09">
      <w:pPr>
        <w:spacing w:after="0" w:line="276" w:lineRule="auto"/>
        <w:rPr>
          <w:rFonts w:asciiTheme="minorHAnsi" w:hAnsiTheme="minorHAnsi"/>
          <w:sz w:val="22"/>
          <w:szCs w:val="22"/>
        </w:rPr>
      </w:pPr>
      <w:r>
        <w:rPr>
          <w:rFonts w:asciiTheme="minorHAnsi" w:hAnsiTheme="minorHAnsi"/>
          <w:sz w:val="22"/>
          <w:szCs w:val="22"/>
        </w:rPr>
        <w:t>30 September</w:t>
      </w:r>
      <w:r w:rsidR="00BA4B09">
        <w:rPr>
          <w:rFonts w:asciiTheme="minorHAnsi" w:hAnsiTheme="minorHAnsi"/>
          <w:sz w:val="22"/>
          <w:szCs w:val="22"/>
        </w:rPr>
        <w:t xml:space="preserve"> 2020</w:t>
      </w:r>
    </w:p>
    <w:p w:rsidR="00FE3DE9" w:rsidRPr="00FE3DE9" w:rsidRDefault="00FE3DE9" w:rsidP="009223D0">
      <w:pPr>
        <w:jc w:val="left"/>
        <w:sectPr w:rsidR="00FE3DE9" w:rsidRPr="00FE3DE9" w:rsidSect="009223D0">
          <w:headerReference w:type="even" r:id="rId24"/>
          <w:headerReference w:type="default" r:id="rId25"/>
          <w:headerReference w:type="first" r:id="rId26"/>
          <w:footerReference w:type="first" r:id="rId27"/>
          <w:pgSz w:w="11906" w:h="16838" w:code="9"/>
          <w:pgMar w:top="1843" w:right="2098" w:bottom="2466" w:left="2098" w:header="1899" w:footer="1899" w:gutter="0"/>
          <w:pgNumType w:fmt="lowerRoman"/>
          <w:cols w:space="708"/>
          <w:titlePg/>
          <w:docGrid w:linePitch="360"/>
        </w:sectPr>
      </w:pPr>
      <w:bookmarkStart w:id="0" w:name="_GoBack"/>
      <w:bookmarkEnd w:id="0"/>
    </w:p>
    <w:p w:rsidR="009C0C48" w:rsidRDefault="009C0C48" w:rsidP="00834F9A">
      <w:pPr>
        <w:pStyle w:val="Heading4-NoTOC"/>
      </w:pPr>
      <w:r>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w:t>
      </w:r>
      <w:proofErr w:type="spellStart"/>
      <w:r>
        <w:t>nec</w:t>
      </w:r>
      <w:proofErr w:type="spellEnd"/>
      <w:r>
        <w:tab/>
        <w:t>not elsewhere classified</w:t>
      </w:r>
    </w:p>
    <w:p w:rsidR="009C0C48" w:rsidRDefault="00F403D6" w:rsidP="009C0C48">
      <w:pPr>
        <w:pStyle w:val="SingleParagraph"/>
        <w:tabs>
          <w:tab w:val="left" w:pos="2268"/>
        </w:tabs>
        <w:ind w:left="567"/>
      </w:pPr>
      <w:r>
        <w:t>-</w:t>
      </w:r>
      <w:r w:rsidR="009C0C48">
        <w:tab/>
      </w:r>
      <w:proofErr w:type="gramStart"/>
      <w:r w:rsidR="009C0C48">
        <w:t>nil</w:t>
      </w:r>
      <w:proofErr w:type="gramEnd"/>
    </w:p>
    <w:p w:rsidR="009C0C48" w:rsidRDefault="009C0C48" w:rsidP="009C0C48">
      <w:pPr>
        <w:pStyle w:val="SingleParagraph"/>
        <w:tabs>
          <w:tab w:val="left" w:pos="2268"/>
        </w:tabs>
        <w:ind w:left="567"/>
      </w:pPr>
      <w:r>
        <w:t>..</w:t>
      </w:r>
      <w:r>
        <w:tab/>
      </w:r>
      <w:proofErr w:type="gramStart"/>
      <w:r>
        <w:t>not</w:t>
      </w:r>
      <w:proofErr w:type="gramEnd"/>
      <w:r>
        <w:t xml:space="preserve"> zero, but rounded to zero</w:t>
      </w:r>
    </w:p>
    <w:p w:rsidR="009C0C48" w:rsidRDefault="009C0C48" w:rsidP="009C0C48">
      <w:pPr>
        <w:pStyle w:val="SingleParagraph"/>
        <w:tabs>
          <w:tab w:val="left" w:pos="2268"/>
        </w:tabs>
        <w:ind w:left="567"/>
      </w:pPr>
      <w:proofErr w:type="spellStart"/>
      <w:proofErr w:type="gramStart"/>
      <w:r>
        <w:t>na</w:t>
      </w:r>
      <w:proofErr w:type="spellEnd"/>
      <w:proofErr w:type="gramEnd"/>
      <w:r>
        <w:tab/>
        <w:t>not applicable (unless otherwise specified)</w:t>
      </w:r>
    </w:p>
    <w:p w:rsidR="009C0C48" w:rsidRDefault="009C0C48" w:rsidP="009C0C48">
      <w:pPr>
        <w:pStyle w:val="SingleParagraph"/>
        <w:tabs>
          <w:tab w:val="left" w:pos="2268"/>
        </w:tabs>
        <w:ind w:left="567"/>
      </w:pPr>
      <w:proofErr w:type="spellStart"/>
      <w:proofErr w:type="gramStart"/>
      <w:r>
        <w:t>nfp</w:t>
      </w:r>
      <w:proofErr w:type="spellEnd"/>
      <w:proofErr w:type="gramEnd"/>
      <w:r>
        <w:tab/>
        <w:t>not for publication</w:t>
      </w:r>
    </w:p>
    <w:p w:rsidR="009C0C48" w:rsidRDefault="009C0C48" w:rsidP="009C0C48">
      <w:pPr>
        <w:pStyle w:val="SingleParagraph"/>
        <w:tabs>
          <w:tab w:val="left" w:pos="2268"/>
        </w:tabs>
        <w:ind w:left="567"/>
      </w:pPr>
      <w:r>
        <w:t>$m</w:t>
      </w:r>
      <w:r>
        <w:tab/>
        <w:t>$ million</w:t>
      </w:r>
    </w:p>
    <w:p w:rsidR="009C0C48" w:rsidRDefault="009C0C48" w:rsidP="009C0C48">
      <w:pPr>
        <w:tabs>
          <w:tab w:val="left" w:pos="2268"/>
        </w:tabs>
        <w:ind w:left="567"/>
      </w:pPr>
      <w:r>
        <w:t>$b</w:t>
      </w:r>
      <w:r>
        <w:tab/>
        <w:t>$ 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Default="009C0C48" w:rsidP="00834F9A">
      <w:pPr>
        <w:pStyle w:val="Heading4-NoTOC"/>
      </w:pPr>
      <w:r>
        <w:t>Enquiries</w:t>
      </w:r>
    </w:p>
    <w:p w:rsidR="009C0C48" w:rsidRDefault="009C0C48" w:rsidP="009C0C48">
      <w:r>
        <w:t xml:space="preserve">Should you have any enquiries regarding this publication please contact </w:t>
      </w:r>
      <w:r w:rsidR="007550E1">
        <w:rPr>
          <w:color w:val="000000" w:themeColor="text1"/>
        </w:rPr>
        <w:t>Tara Stellati</w:t>
      </w:r>
      <w:r w:rsidR="007550E1" w:rsidRPr="0020461D">
        <w:rPr>
          <w:color w:val="000000" w:themeColor="text1"/>
        </w:rPr>
        <w:t>,</w:t>
      </w:r>
      <w:r w:rsidR="007550E1">
        <w:rPr>
          <w:color w:val="000000" w:themeColor="text1"/>
        </w:rPr>
        <w:t xml:space="preserve"> Acting</w:t>
      </w:r>
      <w:r w:rsidR="007550E1" w:rsidRPr="0020461D">
        <w:rPr>
          <w:color w:val="000000" w:themeColor="text1"/>
        </w:rPr>
        <w:t xml:space="preserve"> Chief Finance Officer, Parliamentary Budget Office on (02) 6277 952</w:t>
      </w:r>
      <w:r w:rsidR="007550E1">
        <w:rPr>
          <w:color w:val="000000" w:themeColor="text1"/>
        </w:rPr>
        <w:t>2</w:t>
      </w:r>
      <w:r>
        <w:t>.</w:t>
      </w:r>
    </w:p>
    <w:p w:rsidR="008D7DFC" w:rsidRDefault="009D40C6" w:rsidP="009C0C48">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8" w:history="1">
        <w:r w:rsidR="005F3506" w:rsidRPr="00F24527">
          <w:rPr>
            <w:rStyle w:val="Hyperlink"/>
          </w:rPr>
          <w:t>www.budget.gov.au</w:t>
        </w:r>
      </w:hyperlink>
      <w:r w:rsidR="009C0C48">
        <w:t>.</w:t>
      </w:r>
    </w:p>
    <w:p w:rsidR="00423003" w:rsidRPr="00174186" w:rsidRDefault="00423003" w:rsidP="00174186"/>
    <w:p w:rsidR="00174186" w:rsidRPr="00174186" w:rsidRDefault="00174186" w:rsidP="00174186"/>
    <w:p w:rsidR="00BA4B09" w:rsidRDefault="00BA4B09" w:rsidP="00174186"/>
    <w:p w:rsidR="00BA4B09" w:rsidRPr="00BA4B09" w:rsidRDefault="00BA4B09" w:rsidP="00BA4B09"/>
    <w:p w:rsidR="00BA4B09" w:rsidRPr="00BA4B09" w:rsidRDefault="00BA4B09" w:rsidP="00BA4B09"/>
    <w:p w:rsidR="00BA4B09" w:rsidRDefault="00BA4B09" w:rsidP="00BA4B09">
      <w:pPr>
        <w:jc w:val="right"/>
      </w:pPr>
    </w:p>
    <w:p w:rsidR="00BA4B09" w:rsidRDefault="00BA4B09" w:rsidP="00BA4B09"/>
    <w:p w:rsidR="00174186" w:rsidRPr="00BA4B09" w:rsidRDefault="00174186" w:rsidP="00BA4B09">
      <w:pPr>
        <w:sectPr w:rsidR="00174186" w:rsidRPr="00BA4B09" w:rsidSect="0050346A">
          <w:headerReference w:type="even" r:id="rId29"/>
          <w:headerReference w:type="default" r:id="rId30"/>
          <w:headerReference w:type="first" r:id="rId31"/>
          <w:footerReference w:type="first" r:id="rId32"/>
          <w:pgSz w:w="11906" w:h="16838" w:code="9"/>
          <w:pgMar w:top="2466" w:right="2098" w:bottom="2466" w:left="2098" w:header="1899" w:footer="1899" w:gutter="0"/>
          <w:pgNumType w:fmt="lowerRoman"/>
          <w:cols w:space="708"/>
          <w:titlePg/>
          <w:docGrid w:linePitch="360"/>
        </w:sectPr>
      </w:pPr>
    </w:p>
    <w:p w:rsidR="008D7DFC" w:rsidRPr="00883894" w:rsidRDefault="00883894" w:rsidP="00883894">
      <w:pPr>
        <w:pStyle w:val="PartHeading"/>
      </w:pPr>
      <w:bookmarkStart w:id="1" w:name="_Toc444523502"/>
      <w:r w:rsidRPr="00883894">
        <w:lastRenderedPageBreak/>
        <w:t>User Guide</w:t>
      </w:r>
      <w:bookmarkEnd w:id="1"/>
      <w:r w:rsidRPr="00883894">
        <w:br/>
      </w:r>
      <w:bookmarkStart w:id="2" w:name="_Toc444523503"/>
      <w:r w:rsidRPr="00883894">
        <w:t>To The</w:t>
      </w:r>
      <w:bookmarkEnd w:id="2"/>
      <w:r w:rsidRPr="00883894">
        <w:br/>
      </w:r>
      <w:bookmarkStart w:id="3" w:name="_Toc444523504"/>
      <w:r w:rsidRPr="00883894">
        <w:t>Portfolio Budget Statements</w:t>
      </w:r>
      <w:bookmarkEnd w:id="3"/>
    </w:p>
    <w:p w:rsidR="008D7DFC" w:rsidRPr="00883894" w:rsidRDefault="008D7DFC" w:rsidP="00883894">
      <w:pPr>
        <w:pStyle w:val="PartHeading"/>
        <w:sectPr w:rsidR="008D7DFC" w:rsidRPr="00883894" w:rsidSect="00DD05B3">
          <w:headerReference w:type="even" r:id="rId33"/>
          <w:headerReference w:type="default" r:id="rId34"/>
          <w:headerReference w:type="first" r:id="rId35"/>
          <w:footerReference w:type="first" r:id="rId36"/>
          <w:pgSz w:w="11906" w:h="16838" w:code="9"/>
          <w:pgMar w:top="2466" w:right="2098" w:bottom="2466" w:left="2098" w:header="1899" w:footer="1899" w:gutter="0"/>
          <w:pgNumType w:fmt="lowerRoman"/>
          <w:cols w:space="708"/>
          <w:vAlign w:val="center"/>
          <w:titlePg/>
          <w:docGrid w:linePitch="360"/>
        </w:sectPr>
      </w:pPr>
    </w:p>
    <w:p w:rsidR="008D7DFC" w:rsidRDefault="008D7DFC" w:rsidP="00834F9A">
      <w:pPr>
        <w:pStyle w:val="Heading1"/>
        <w:rPr>
          <w:lang w:val="en-US"/>
        </w:rPr>
      </w:pPr>
      <w:bookmarkStart w:id="4" w:name="_Toc112211948"/>
      <w:bookmarkStart w:id="5" w:name="_Toc112212042"/>
      <w:bookmarkStart w:id="6" w:name="_Toc112137860"/>
      <w:bookmarkStart w:id="7" w:name="_Toc112224367"/>
      <w:bookmarkStart w:id="8" w:name="_Toc112225828"/>
      <w:bookmarkStart w:id="9" w:name="_Toc534896007"/>
      <w:r>
        <w:rPr>
          <w:lang w:val="en-US"/>
        </w:rPr>
        <w:lastRenderedPageBreak/>
        <w:t xml:space="preserve">User </w:t>
      </w:r>
      <w:r w:rsidR="00CA2F21">
        <w:rPr>
          <w:lang w:val="en-US"/>
        </w:rPr>
        <w:t>g</w:t>
      </w:r>
      <w:r>
        <w:rPr>
          <w:lang w:val="en-US"/>
        </w:rPr>
        <w:t>uide</w:t>
      </w:r>
      <w:bookmarkEnd w:id="4"/>
      <w:bookmarkEnd w:id="5"/>
      <w:bookmarkEnd w:id="6"/>
      <w:bookmarkEnd w:id="7"/>
      <w:bookmarkEnd w:id="8"/>
      <w:bookmarkEnd w:id="9"/>
    </w:p>
    <w:p w:rsidR="008D7DFC" w:rsidRDefault="00A409BC" w:rsidP="008D7DFC">
      <w:r>
        <w:t xml:space="preserve">The purpose of the </w:t>
      </w:r>
      <w:r w:rsidR="00264BB2">
        <w:rPr>
          <w:i/>
        </w:rPr>
        <w:t>2020-21</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264BB2">
        <w:t>2020-21</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64BB2">
        <w:t>2020-21</w:t>
      </w:r>
      <w:r>
        <w:t xml:space="preserve"> 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rsidR="008D7DFC" w:rsidRDefault="008D7DFC" w:rsidP="008D7DFC">
      <w:r>
        <w:t>The PB Statements provide information, explanation and justification to enable Parliament to understand the purpose of each outcome proposed in the Bills.</w:t>
      </w:r>
    </w:p>
    <w:p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rsidR="00AF3117" w:rsidRPr="00CD6D33" w:rsidRDefault="00AF3117" w:rsidP="00CD6D33">
      <w:pPr>
        <w:pStyle w:val="Heading2NoTOC"/>
      </w:pPr>
      <w:r w:rsidRPr="00CD6D33">
        <w:t>The Com</w:t>
      </w:r>
      <w:r w:rsidR="00834F9A" w:rsidRPr="00CD6D33">
        <w:t>monwealth Performance Framework</w:t>
      </w:r>
    </w:p>
    <w:p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rsidR="004D0D6B" w:rsidRDefault="004D0D6B">
      <w:pPr>
        <w:spacing w:after="0" w:line="240" w:lineRule="auto"/>
        <w:jc w:val="left"/>
        <w:rPr>
          <w:rFonts w:ascii="Arial" w:hAnsi="Arial"/>
        </w:rPr>
      </w:pPr>
      <w:r>
        <w:br w:type="page"/>
      </w:r>
    </w:p>
    <w:bookmarkStart w:id="10" w:name="_MON_1660551459"/>
    <w:bookmarkEnd w:id="10"/>
    <w:p w:rsidR="005C46D8" w:rsidRPr="005C46D8" w:rsidRDefault="00891890" w:rsidP="003F1607">
      <w:pPr>
        <w:pStyle w:val="ChartGraphic"/>
      </w:pPr>
      <w:r>
        <w:object w:dxaOrig="7991" w:dyaOrig="10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536.65pt" o:ole="">
            <v:imagedata r:id="rId37" o:title=""/>
          </v:shape>
          <o:OLEObject Type="Embed" ProgID="Word.Document.12" ShapeID="_x0000_i1025" DrawAspect="Content" ObjectID="_1663568242" r:id="rId38">
            <o:FieldCodes>\s</o:FieldCodes>
          </o:OLEObject>
        </w:object>
      </w:r>
    </w:p>
    <w:p w:rsidR="005C46D8" w:rsidRPr="005C46D8" w:rsidRDefault="005C46D8" w:rsidP="005C46D8">
      <w:pPr>
        <w:sectPr w:rsidR="005C46D8" w:rsidRPr="005C46D8" w:rsidSect="004F1212">
          <w:headerReference w:type="even" r:id="rId39"/>
          <w:headerReference w:type="default" r:id="rId40"/>
          <w:footerReference w:type="default" r:id="rId41"/>
          <w:headerReference w:type="first" r:id="rId42"/>
          <w:footerReference w:type="first" r:id="rId43"/>
          <w:type w:val="oddPage"/>
          <w:pgSz w:w="11906" w:h="16838" w:code="9"/>
          <w:pgMar w:top="2466" w:right="2098" w:bottom="2466" w:left="2098" w:header="1899" w:footer="1899" w:gutter="0"/>
          <w:pgNumType w:fmt="lowerRoman"/>
          <w:cols w:space="708"/>
          <w:titlePg/>
          <w:docGrid w:linePitch="360"/>
        </w:sectPr>
      </w:pPr>
    </w:p>
    <w:p w:rsidR="007550E1" w:rsidRDefault="00257FF4" w:rsidP="005A7C0B">
      <w:pPr>
        <w:pStyle w:val="PartHeading"/>
      </w:pPr>
      <w:r w:rsidRPr="005A7C0B">
        <w:lastRenderedPageBreak/>
        <w:t xml:space="preserve">Department </w:t>
      </w:r>
      <w:r w:rsidR="007550E1">
        <w:t>Overview</w:t>
      </w:r>
    </w:p>
    <w:p w:rsidR="007550E1" w:rsidRDefault="007550E1">
      <w:pPr>
        <w:spacing w:after="0" w:line="240" w:lineRule="auto"/>
        <w:jc w:val="left"/>
        <w:rPr>
          <w:rFonts w:ascii="Arial" w:hAnsi="Arial" w:cs="Arial"/>
          <w:b/>
          <w:bCs/>
          <w:smallCaps/>
          <w:kern w:val="28"/>
          <w:sz w:val="52"/>
          <w:szCs w:val="32"/>
        </w:rPr>
      </w:pPr>
      <w:r>
        <w:br w:type="page"/>
      </w:r>
    </w:p>
    <w:p w:rsidR="00F15D2B" w:rsidRPr="00834F9A" w:rsidRDefault="00F15D2B" w:rsidP="00F15D2B">
      <w:pPr>
        <w:pStyle w:val="Heading1"/>
      </w:pPr>
      <w:bookmarkStart w:id="11" w:name="_Toc190766148"/>
      <w:bookmarkStart w:id="12" w:name="_Toc4164363"/>
      <w:r w:rsidRPr="00834F9A">
        <w:lastRenderedPageBreak/>
        <w:t>P</w:t>
      </w:r>
      <w:r>
        <w:t>arliamentary Budget Office</w:t>
      </w:r>
      <w:r w:rsidRPr="00834F9A">
        <w:t xml:space="preserve"> overview</w:t>
      </w:r>
      <w:bookmarkEnd w:id="11"/>
      <w:bookmarkEnd w:id="12"/>
    </w:p>
    <w:p w:rsidR="00F15D2B" w:rsidRDefault="00F15D2B" w:rsidP="00F15D2B">
      <w:pPr>
        <w:pStyle w:val="Heading2NoTOC"/>
      </w:pPr>
      <w:bookmarkStart w:id="13" w:name="_Toc190682306"/>
      <w:bookmarkStart w:id="14" w:name="_Toc444523506"/>
      <w:r>
        <w:t>Departmental responsibilities</w:t>
      </w:r>
      <w:bookmarkEnd w:id="13"/>
      <w:bookmarkEnd w:id="14"/>
    </w:p>
    <w:p w:rsidR="00F15D2B" w:rsidRDefault="00F15D2B" w:rsidP="00F15D2B">
      <w:pPr>
        <w:pStyle w:val="Exampletext"/>
        <w:rPr>
          <w:i w:val="0"/>
          <w:color w:val="000000" w:themeColor="text1"/>
          <w:lang w:val="en-AU"/>
        </w:rPr>
      </w:pPr>
      <w:r>
        <w:rPr>
          <w:i w:val="0"/>
          <w:color w:val="000000" w:themeColor="text1"/>
          <w:lang w:val="en-AU"/>
        </w:rPr>
        <w:t>The purpose of the Parliamentary Budget Office (PBO) is to inform the Parliament by providing independent and non-partisan analysis of the budget cycle, fiscal policy and the financial implications of proposals.</w:t>
      </w:r>
    </w:p>
    <w:p w:rsidR="00F15D2B" w:rsidRDefault="00F15D2B" w:rsidP="00F15D2B">
      <w:pPr>
        <w:pStyle w:val="Exampletext"/>
        <w:rPr>
          <w:i w:val="0"/>
          <w:color w:val="000000" w:themeColor="text1"/>
          <w:lang w:val="en-AU"/>
        </w:rPr>
      </w:pPr>
      <w:r>
        <w:rPr>
          <w:i w:val="0"/>
          <w:color w:val="000000" w:themeColor="text1"/>
          <w:lang w:val="en-AU"/>
        </w:rPr>
        <w:t>The Parliamentary Budget Officer, under the Presiding Officers, is responsible for leading and managing the PBO.</w:t>
      </w:r>
    </w:p>
    <w:p w:rsidR="00F15D2B" w:rsidRDefault="00F15D2B" w:rsidP="00F15D2B">
      <w:pPr>
        <w:pStyle w:val="Exampletext"/>
        <w:rPr>
          <w:i w:val="0"/>
          <w:color w:val="000000" w:themeColor="text1"/>
          <w:lang w:val="en-AU"/>
        </w:rPr>
      </w:pPr>
      <w:r>
        <w:rPr>
          <w:i w:val="0"/>
          <w:color w:val="000000" w:themeColor="text1"/>
          <w:lang w:val="en-AU"/>
        </w:rPr>
        <w:t xml:space="preserve">As set out in the </w:t>
      </w:r>
      <w:r>
        <w:rPr>
          <w:color w:val="000000" w:themeColor="text1"/>
          <w:lang w:val="en-AU"/>
        </w:rPr>
        <w:t>Parliamentary Service Act 1999</w:t>
      </w:r>
      <w:r>
        <w:rPr>
          <w:i w:val="0"/>
          <w:color w:val="000000" w:themeColor="text1"/>
          <w:lang w:val="en-AU"/>
        </w:rPr>
        <w:t>, the Parliamentary Budget Officer has the following functions:</w:t>
      </w:r>
    </w:p>
    <w:p w:rsidR="00F15D2B" w:rsidRDefault="00F15D2B" w:rsidP="001135C3">
      <w:pPr>
        <w:pStyle w:val="Exampletext"/>
        <w:numPr>
          <w:ilvl w:val="0"/>
          <w:numId w:val="11"/>
        </w:numPr>
        <w:ind w:left="426" w:hanging="426"/>
        <w:rPr>
          <w:i w:val="0"/>
          <w:color w:val="000000" w:themeColor="text1"/>
          <w:lang w:val="en-AU"/>
        </w:rPr>
      </w:pPr>
      <w:r>
        <w:rPr>
          <w:i w:val="0"/>
          <w:color w:val="000000" w:themeColor="text1"/>
          <w:lang w:val="en-AU"/>
        </w:rPr>
        <w:t>outside the caretaker period for a general election, to prepare policy costings and undertake budget analysis on request by Senators and Members, with the requests and the PBO’s responses to be kept confidential if so directed by the requestor</w:t>
      </w:r>
    </w:p>
    <w:p w:rsidR="00F15D2B" w:rsidRDefault="00F15D2B" w:rsidP="001135C3">
      <w:pPr>
        <w:pStyle w:val="Exampletext"/>
        <w:numPr>
          <w:ilvl w:val="0"/>
          <w:numId w:val="11"/>
        </w:numPr>
        <w:ind w:left="426" w:hanging="426"/>
        <w:rPr>
          <w:i w:val="0"/>
          <w:color w:val="000000" w:themeColor="text1"/>
          <w:lang w:val="en-AU"/>
        </w:rPr>
      </w:pPr>
      <w:r>
        <w:rPr>
          <w:i w:val="0"/>
          <w:color w:val="000000" w:themeColor="text1"/>
          <w:lang w:val="en-AU"/>
        </w:rPr>
        <w:t>during the caretaker period for a general election, to prepare costings of publicly announced policies on request by authorised members of parliamentary parties or independent parliamentarians, with the requests and the PBO’s responses to be made public</w:t>
      </w:r>
    </w:p>
    <w:p w:rsidR="00F15D2B" w:rsidRDefault="00F15D2B" w:rsidP="001135C3">
      <w:pPr>
        <w:pStyle w:val="Exampletext"/>
        <w:numPr>
          <w:ilvl w:val="0"/>
          <w:numId w:val="11"/>
        </w:numPr>
        <w:ind w:left="426" w:hanging="426"/>
        <w:rPr>
          <w:i w:val="0"/>
          <w:color w:val="000000" w:themeColor="text1"/>
          <w:lang w:val="en-AU"/>
        </w:rPr>
      </w:pPr>
      <w:r>
        <w:rPr>
          <w:i w:val="0"/>
          <w:color w:val="000000" w:themeColor="text1"/>
          <w:lang w:val="en-AU"/>
        </w:rPr>
        <w:t>to prepare submissions to inquiries of parliamentary committees, on request by such committees, with the requests and the PBO’s responses to be made public</w:t>
      </w:r>
    </w:p>
    <w:p w:rsidR="00F15D2B" w:rsidRDefault="00F15D2B" w:rsidP="001135C3">
      <w:pPr>
        <w:pStyle w:val="Exampletext"/>
        <w:numPr>
          <w:ilvl w:val="0"/>
          <w:numId w:val="11"/>
        </w:numPr>
        <w:ind w:left="426" w:hanging="426"/>
        <w:rPr>
          <w:i w:val="0"/>
          <w:color w:val="000000" w:themeColor="text1"/>
          <w:lang w:val="en-AU"/>
        </w:rPr>
      </w:pPr>
      <w:r>
        <w:rPr>
          <w:i w:val="0"/>
          <w:color w:val="000000" w:themeColor="text1"/>
          <w:lang w:val="en-AU"/>
        </w:rPr>
        <w:t>after a general election, to prepare a post-election report that analyses and summarises the budget impacts of the election commitments of designated parliamentary parties</w:t>
      </w:r>
    </w:p>
    <w:p w:rsidR="00F15D2B" w:rsidRDefault="00F15D2B" w:rsidP="001135C3">
      <w:pPr>
        <w:pStyle w:val="Exampletext"/>
        <w:numPr>
          <w:ilvl w:val="0"/>
          <w:numId w:val="11"/>
        </w:numPr>
        <w:ind w:left="426" w:hanging="426"/>
        <w:rPr>
          <w:i w:val="0"/>
          <w:color w:val="000000" w:themeColor="text1"/>
          <w:lang w:val="en-AU"/>
        </w:rPr>
      </w:pPr>
      <w:proofErr w:type="gramStart"/>
      <w:r>
        <w:rPr>
          <w:i w:val="0"/>
          <w:color w:val="000000" w:themeColor="text1"/>
          <w:lang w:val="en-AU"/>
        </w:rPr>
        <w:t>to</w:t>
      </w:r>
      <w:proofErr w:type="gramEnd"/>
      <w:r>
        <w:rPr>
          <w:i w:val="0"/>
          <w:color w:val="000000" w:themeColor="text1"/>
          <w:lang w:val="en-AU"/>
        </w:rPr>
        <w:t xml:space="preserve"> conduct and publish research on budget and fiscal policy issues.</w:t>
      </w:r>
    </w:p>
    <w:p w:rsidR="005A7C0B" w:rsidRDefault="005A7C0B" w:rsidP="005A7C0B">
      <w:pPr>
        <w:pStyle w:val="PartHeading"/>
      </w:pPr>
    </w:p>
    <w:p w:rsidR="005A7C0B" w:rsidRDefault="005A7C0B" w:rsidP="005A7C0B">
      <w:pPr>
        <w:pStyle w:val="PartHeading"/>
      </w:pPr>
    </w:p>
    <w:p w:rsidR="007550E1" w:rsidRDefault="007550E1">
      <w:pPr>
        <w:spacing w:after="0" w:line="240" w:lineRule="auto"/>
        <w:jc w:val="left"/>
        <w:rPr>
          <w:rFonts w:ascii="Arial" w:hAnsi="Arial" w:cs="Arial"/>
          <w:b/>
          <w:bCs/>
          <w:smallCaps/>
          <w:kern w:val="28"/>
          <w:sz w:val="52"/>
          <w:szCs w:val="32"/>
        </w:rPr>
      </w:pPr>
      <w:bookmarkStart w:id="15" w:name="_Toc534896009"/>
      <w:r>
        <w:br w:type="page"/>
      </w:r>
    </w:p>
    <w:p w:rsidR="00257FF4" w:rsidRDefault="007E6BBD" w:rsidP="006B7542">
      <w:pPr>
        <w:pStyle w:val="PartHeading-TOC"/>
      </w:pPr>
      <w:r>
        <w:lastRenderedPageBreak/>
        <w:t xml:space="preserve">Entity </w:t>
      </w:r>
      <w:r w:rsidR="00605163">
        <w:t>resources and planned performance</w:t>
      </w:r>
      <w:bookmarkEnd w:id="15"/>
    </w:p>
    <w:p w:rsidR="00257FF4" w:rsidRDefault="00257FF4" w:rsidP="005A7C0B">
      <w:pPr>
        <w:pStyle w:val="PartHeading"/>
        <w:sectPr w:rsidR="00257FF4" w:rsidSect="005A7C0B">
          <w:headerReference w:type="even" r:id="rId44"/>
          <w:headerReference w:type="default" r:id="rId45"/>
          <w:headerReference w:type="first" r:id="rId46"/>
          <w:footerReference w:type="first" r:id="rId47"/>
          <w:type w:val="oddPage"/>
          <w:pgSz w:w="11906" w:h="16838" w:code="9"/>
          <w:pgMar w:top="2466" w:right="2098" w:bottom="2466" w:left="2098" w:header="1899" w:footer="1899" w:gutter="0"/>
          <w:cols w:space="708"/>
          <w:vAlign w:val="center"/>
          <w:titlePg/>
          <w:docGrid w:linePitch="360"/>
        </w:sectPr>
      </w:pPr>
    </w:p>
    <w:p w:rsidR="00257FF4" w:rsidRPr="002A32FD" w:rsidRDefault="00F15D2B" w:rsidP="002A32FD">
      <w:pPr>
        <w:pStyle w:val="ContentsHeading"/>
      </w:pPr>
      <w:r w:rsidRPr="00834F9A">
        <w:lastRenderedPageBreak/>
        <w:t>P</w:t>
      </w:r>
      <w:r>
        <w:t>arliamentary Budget Office</w:t>
      </w:r>
    </w:p>
    <w:p w:rsidR="00407B12" w:rsidRDefault="00915F4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1850937" w:history="1">
        <w:r w:rsidR="00407B12" w:rsidRPr="003A1417">
          <w:rPr>
            <w:rStyle w:val="Hyperlink"/>
            <w:noProof/>
          </w:rPr>
          <w:t>Section 1: Entity overview and resources</w:t>
        </w:r>
        <w:r w:rsidR="00407B12">
          <w:rPr>
            <w:noProof/>
            <w:webHidden/>
          </w:rPr>
          <w:tab/>
        </w:r>
        <w:r w:rsidR="00407B12">
          <w:rPr>
            <w:noProof/>
            <w:webHidden/>
          </w:rPr>
          <w:fldChar w:fldCharType="begin"/>
        </w:r>
        <w:r w:rsidR="00407B12">
          <w:rPr>
            <w:noProof/>
            <w:webHidden/>
          </w:rPr>
          <w:instrText xml:space="preserve"> PAGEREF _Toc51850937 \h </w:instrText>
        </w:r>
        <w:r w:rsidR="00407B12">
          <w:rPr>
            <w:noProof/>
            <w:webHidden/>
          </w:rPr>
        </w:r>
        <w:r w:rsidR="00407B12">
          <w:rPr>
            <w:noProof/>
            <w:webHidden/>
          </w:rPr>
          <w:fldChar w:fldCharType="separate"/>
        </w:r>
        <w:r w:rsidR="00407B12">
          <w:rPr>
            <w:noProof/>
            <w:webHidden/>
          </w:rPr>
          <w:t>15</w:t>
        </w:r>
        <w:r w:rsidR="00407B12">
          <w:rPr>
            <w:noProof/>
            <w:webHidden/>
          </w:rPr>
          <w:fldChar w:fldCharType="end"/>
        </w:r>
      </w:hyperlink>
    </w:p>
    <w:p w:rsidR="00407B12" w:rsidRDefault="005912B6">
      <w:pPr>
        <w:pStyle w:val="TOC2"/>
        <w:tabs>
          <w:tab w:val="left" w:pos="800"/>
        </w:tabs>
        <w:rPr>
          <w:rFonts w:asciiTheme="minorHAnsi" w:eastAsiaTheme="minorEastAsia" w:hAnsiTheme="minorHAnsi" w:cstheme="minorBidi"/>
          <w:noProof/>
          <w:sz w:val="22"/>
          <w:szCs w:val="22"/>
        </w:rPr>
      </w:pPr>
      <w:hyperlink w:anchor="_Toc51850938" w:history="1">
        <w:r w:rsidR="00407B12" w:rsidRPr="003A1417">
          <w:rPr>
            <w:rStyle w:val="Hyperlink"/>
            <w:noProof/>
          </w:rPr>
          <w:t>1.1</w:t>
        </w:r>
        <w:r w:rsidR="00407B12">
          <w:rPr>
            <w:rFonts w:asciiTheme="minorHAnsi" w:eastAsiaTheme="minorEastAsia" w:hAnsiTheme="minorHAnsi" w:cstheme="minorBidi"/>
            <w:noProof/>
            <w:sz w:val="22"/>
            <w:szCs w:val="22"/>
          </w:rPr>
          <w:tab/>
        </w:r>
        <w:r w:rsidR="00407B12" w:rsidRPr="003A1417">
          <w:rPr>
            <w:rStyle w:val="Hyperlink"/>
            <w:noProof/>
          </w:rPr>
          <w:t>Strategic direction statement</w:t>
        </w:r>
        <w:r w:rsidR="00407B12">
          <w:rPr>
            <w:noProof/>
            <w:webHidden/>
          </w:rPr>
          <w:tab/>
        </w:r>
        <w:r w:rsidR="00407B12">
          <w:rPr>
            <w:noProof/>
            <w:webHidden/>
          </w:rPr>
          <w:fldChar w:fldCharType="begin"/>
        </w:r>
        <w:r w:rsidR="00407B12">
          <w:rPr>
            <w:noProof/>
            <w:webHidden/>
          </w:rPr>
          <w:instrText xml:space="preserve"> PAGEREF _Toc51850938 \h </w:instrText>
        </w:r>
        <w:r w:rsidR="00407B12">
          <w:rPr>
            <w:noProof/>
            <w:webHidden/>
          </w:rPr>
        </w:r>
        <w:r w:rsidR="00407B12">
          <w:rPr>
            <w:noProof/>
            <w:webHidden/>
          </w:rPr>
          <w:fldChar w:fldCharType="separate"/>
        </w:r>
        <w:r w:rsidR="00407B12">
          <w:rPr>
            <w:noProof/>
            <w:webHidden/>
          </w:rPr>
          <w:t>15</w:t>
        </w:r>
        <w:r w:rsidR="00407B12">
          <w:rPr>
            <w:noProof/>
            <w:webHidden/>
          </w:rPr>
          <w:fldChar w:fldCharType="end"/>
        </w:r>
      </w:hyperlink>
    </w:p>
    <w:p w:rsidR="00407B12" w:rsidRDefault="005912B6">
      <w:pPr>
        <w:pStyle w:val="TOC2"/>
        <w:tabs>
          <w:tab w:val="left" w:pos="800"/>
        </w:tabs>
        <w:rPr>
          <w:rFonts w:asciiTheme="minorHAnsi" w:eastAsiaTheme="minorEastAsia" w:hAnsiTheme="minorHAnsi" w:cstheme="minorBidi"/>
          <w:noProof/>
          <w:sz w:val="22"/>
          <w:szCs w:val="22"/>
        </w:rPr>
      </w:pPr>
      <w:hyperlink w:anchor="_Toc51850939" w:history="1">
        <w:r w:rsidR="00407B12" w:rsidRPr="003A1417">
          <w:rPr>
            <w:rStyle w:val="Hyperlink"/>
            <w:noProof/>
          </w:rPr>
          <w:t>1.2</w:t>
        </w:r>
        <w:r w:rsidR="00407B12">
          <w:rPr>
            <w:rFonts w:asciiTheme="minorHAnsi" w:eastAsiaTheme="minorEastAsia" w:hAnsiTheme="minorHAnsi" w:cstheme="minorBidi"/>
            <w:noProof/>
            <w:sz w:val="22"/>
            <w:szCs w:val="22"/>
          </w:rPr>
          <w:tab/>
        </w:r>
        <w:r w:rsidR="00407B12" w:rsidRPr="003A1417">
          <w:rPr>
            <w:rStyle w:val="Hyperlink"/>
            <w:noProof/>
          </w:rPr>
          <w:t>Entity resource statement</w:t>
        </w:r>
        <w:r w:rsidR="00407B12">
          <w:rPr>
            <w:noProof/>
            <w:webHidden/>
          </w:rPr>
          <w:tab/>
        </w:r>
        <w:r w:rsidR="00407B12">
          <w:rPr>
            <w:noProof/>
            <w:webHidden/>
          </w:rPr>
          <w:fldChar w:fldCharType="begin"/>
        </w:r>
        <w:r w:rsidR="00407B12">
          <w:rPr>
            <w:noProof/>
            <w:webHidden/>
          </w:rPr>
          <w:instrText xml:space="preserve"> PAGEREF _Toc51850939 \h </w:instrText>
        </w:r>
        <w:r w:rsidR="00407B12">
          <w:rPr>
            <w:noProof/>
            <w:webHidden/>
          </w:rPr>
        </w:r>
        <w:r w:rsidR="00407B12">
          <w:rPr>
            <w:noProof/>
            <w:webHidden/>
          </w:rPr>
          <w:fldChar w:fldCharType="separate"/>
        </w:r>
        <w:r w:rsidR="00407B12">
          <w:rPr>
            <w:noProof/>
            <w:webHidden/>
          </w:rPr>
          <w:t>16</w:t>
        </w:r>
        <w:r w:rsidR="00407B12">
          <w:rPr>
            <w:noProof/>
            <w:webHidden/>
          </w:rPr>
          <w:fldChar w:fldCharType="end"/>
        </w:r>
      </w:hyperlink>
    </w:p>
    <w:p w:rsidR="00407B12" w:rsidRDefault="005912B6">
      <w:pPr>
        <w:pStyle w:val="TOC1"/>
        <w:rPr>
          <w:rFonts w:asciiTheme="minorHAnsi" w:eastAsiaTheme="minorEastAsia" w:hAnsiTheme="minorHAnsi" w:cstheme="minorBidi"/>
          <w:b w:val="0"/>
          <w:caps w:val="0"/>
          <w:noProof/>
          <w:sz w:val="22"/>
          <w:szCs w:val="22"/>
        </w:rPr>
      </w:pPr>
      <w:hyperlink w:anchor="_Toc51850940" w:history="1">
        <w:r w:rsidR="00407B12" w:rsidRPr="003A1417">
          <w:rPr>
            <w:rStyle w:val="Hyperlink"/>
            <w:noProof/>
          </w:rPr>
          <w:t>Section 2: Outcomes and planned performance</w:t>
        </w:r>
        <w:r w:rsidR="00407B12">
          <w:rPr>
            <w:noProof/>
            <w:webHidden/>
          </w:rPr>
          <w:tab/>
        </w:r>
        <w:r w:rsidR="00407B12">
          <w:rPr>
            <w:noProof/>
            <w:webHidden/>
          </w:rPr>
          <w:fldChar w:fldCharType="begin"/>
        </w:r>
        <w:r w:rsidR="00407B12">
          <w:rPr>
            <w:noProof/>
            <w:webHidden/>
          </w:rPr>
          <w:instrText xml:space="preserve"> PAGEREF _Toc51850940 \h </w:instrText>
        </w:r>
        <w:r w:rsidR="00407B12">
          <w:rPr>
            <w:noProof/>
            <w:webHidden/>
          </w:rPr>
        </w:r>
        <w:r w:rsidR="00407B12">
          <w:rPr>
            <w:noProof/>
            <w:webHidden/>
          </w:rPr>
          <w:fldChar w:fldCharType="separate"/>
        </w:r>
        <w:r w:rsidR="00407B12">
          <w:rPr>
            <w:noProof/>
            <w:webHidden/>
          </w:rPr>
          <w:t>17</w:t>
        </w:r>
        <w:r w:rsidR="00407B12">
          <w:rPr>
            <w:noProof/>
            <w:webHidden/>
          </w:rPr>
          <w:fldChar w:fldCharType="end"/>
        </w:r>
      </w:hyperlink>
    </w:p>
    <w:p w:rsidR="00407B12" w:rsidRDefault="005912B6">
      <w:pPr>
        <w:pStyle w:val="TOC2"/>
        <w:tabs>
          <w:tab w:val="left" w:pos="800"/>
        </w:tabs>
        <w:rPr>
          <w:rFonts w:asciiTheme="minorHAnsi" w:eastAsiaTheme="minorEastAsia" w:hAnsiTheme="minorHAnsi" w:cstheme="minorBidi"/>
          <w:noProof/>
          <w:sz w:val="22"/>
          <w:szCs w:val="22"/>
        </w:rPr>
      </w:pPr>
      <w:hyperlink w:anchor="_Toc51850941" w:history="1">
        <w:r w:rsidR="00407B12" w:rsidRPr="003A1417">
          <w:rPr>
            <w:rStyle w:val="Hyperlink"/>
            <w:noProof/>
          </w:rPr>
          <w:t xml:space="preserve">2.1 </w:t>
        </w:r>
        <w:r w:rsidR="00407B12">
          <w:rPr>
            <w:rFonts w:asciiTheme="minorHAnsi" w:eastAsiaTheme="minorEastAsia" w:hAnsiTheme="minorHAnsi" w:cstheme="minorBidi"/>
            <w:noProof/>
            <w:sz w:val="22"/>
            <w:szCs w:val="22"/>
          </w:rPr>
          <w:tab/>
        </w:r>
        <w:r w:rsidR="00407B12" w:rsidRPr="003A1417">
          <w:rPr>
            <w:rStyle w:val="Hyperlink"/>
            <w:noProof/>
          </w:rPr>
          <w:t>Budgeted expenses and performance</w:t>
        </w:r>
        <w:r w:rsidR="00407B12">
          <w:rPr>
            <w:noProof/>
            <w:webHidden/>
          </w:rPr>
          <w:tab/>
        </w:r>
        <w:r w:rsidR="00407B12">
          <w:rPr>
            <w:noProof/>
            <w:webHidden/>
          </w:rPr>
          <w:fldChar w:fldCharType="begin"/>
        </w:r>
        <w:r w:rsidR="00407B12">
          <w:rPr>
            <w:noProof/>
            <w:webHidden/>
          </w:rPr>
          <w:instrText xml:space="preserve"> PAGEREF _Toc51850941 \h </w:instrText>
        </w:r>
        <w:r w:rsidR="00407B12">
          <w:rPr>
            <w:noProof/>
            <w:webHidden/>
          </w:rPr>
        </w:r>
        <w:r w:rsidR="00407B12">
          <w:rPr>
            <w:noProof/>
            <w:webHidden/>
          </w:rPr>
          <w:fldChar w:fldCharType="separate"/>
        </w:r>
        <w:r w:rsidR="00407B12">
          <w:rPr>
            <w:noProof/>
            <w:webHidden/>
          </w:rPr>
          <w:t>18</w:t>
        </w:r>
        <w:r w:rsidR="00407B12">
          <w:rPr>
            <w:noProof/>
            <w:webHidden/>
          </w:rPr>
          <w:fldChar w:fldCharType="end"/>
        </w:r>
      </w:hyperlink>
    </w:p>
    <w:p w:rsidR="00407B12" w:rsidRDefault="005912B6">
      <w:pPr>
        <w:pStyle w:val="TOC1"/>
        <w:rPr>
          <w:rFonts w:asciiTheme="minorHAnsi" w:eastAsiaTheme="minorEastAsia" w:hAnsiTheme="minorHAnsi" w:cstheme="minorBidi"/>
          <w:b w:val="0"/>
          <w:caps w:val="0"/>
          <w:noProof/>
          <w:sz w:val="22"/>
          <w:szCs w:val="22"/>
        </w:rPr>
      </w:pPr>
      <w:hyperlink w:anchor="_Toc51850942" w:history="1">
        <w:r w:rsidR="00407B12" w:rsidRPr="003A1417">
          <w:rPr>
            <w:rStyle w:val="Hyperlink"/>
            <w:noProof/>
          </w:rPr>
          <w:t>Section 3: Budgeted financial statements</w:t>
        </w:r>
        <w:r w:rsidR="00407B12">
          <w:rPr>
            <w:noProof/>
            <w:webHidden/>
          </w:rPr>
          <w:tab/>
        </w:r>
        <w:r w:rsidR="00407B12">
          <w:rPr>
            <w:noProof/>
            <w:webHidden/>
          </w:rPr>
          <w:fldChar w:fldCharType="begin"/>
        </w:r>
        <w:r w:rsidR="00407B12">
          <w:rPr>
            <w:noProof/>
            <w:webHidden/>
          </w:rPr>
          <w:instrText xml:space="preserve"> PAGEREF _Toc51850942 \h </w:instrText>
        </w:r>
        <w:r w:rsidR="00407B12">
          <w:rPr>
            <w:noProof/>
            <w:webHidden/>
          </w:rPr>
        </w:r>
        <w:r w:rsidR="00407B12">
          <w:rPr>
            <w:noProof/>
            <w:webHidden/>
          </w:rPr>
          <w:fldChar w:fldCharType="separate"/>
        </w:r>
        <w:r w:rsidR="00407B12">
          <w:rPr>
            <w:noProof/>
            <w:webHidden/>
          </w:rPr>
          <w:t>21</w:t>
        </w:r>
        <w:r w:rsidR="00407B12">
          <w:rPr>
            <w:noProof/>
            <w:webHidden/>
          </w:rPr>
          <w:fldChar w:fldCharType="end"/>
        </w:r>
      </w:hyperlink>
    </w:p>
    <w:p w:rsidR="00407B12" w:rsidRDefault="005912B6">
      <w:pPr>
        <w:pStyle w:val="TOC2"/>
        <w:tabs>
          <w:tab w:val="left" w:pos="800"/>
        </w:tabs>
        <w:rPr>
          <w:rFonts w:asciiTheme="minorHAnsi" w:eastAsiaTheme="minorEastAsia" w:hAnsiTheme="minorHAnsi" w:cstheme="minorBidi"/>
          <w:noProof/>
          <w:sz w:val="22"/>
          <w:szCs w:val="22"/>
        </w:rPr>
      </w:pPr>
      <w:hyperlink w:anchor="_Toc51850943" w:history="1">
        <w:r w:rsidR="00407B12" w:rsidRPr="003A1417">
          <w:rPr>
            <w:rStyle w:val="Hyperlink"/>
            <w:noProof/>
          </w:rPr>
          <w:t>3.1</w:t>
        </w:r>
        <w:r w:rsidR="00407B12">
          <w:rPr>
            <w:rFonts w:asciiTheme="minorHAnsi" w:eastAsiaTheme="minorEastAsia" w:hAnsiTheme="minorHAnsi" w:cstheme="minorBidi"/>
            <w:noProof/>
            <w:sz w:val="22"/>
            <w:szCs w:val="22"/>
          </w:rPr>
          <w:tab/>
        </w:r>
        <w:r w:rsidR="00407B12" w:rsidRPr="003A1417">
          <w:rPr>
            <w:rStyle w:val="Hyperlink"/>
            <w:noProof/>
          </w:rPr>
          <w:t>Budgeted financial statements</w:t>
        </w:r>
        <w:r w:rsidR="00407B12">
          <w:rPr>
            <w:noProof/>
            <w:webHidden/>
          </w:rPr>
          <w:tab/>
        </w:r>
        <w:r w:rsidR="00407B12">
          <w:rPr>
            <w:noProof/>
            <w:webHidden/>
          </w:rPr>
          <w:fldChar w:fldCharType="begin"/>
        </w:r>
        <w:r w:rsidR="00407B12">
          <w:rPr>
            <w:noProof/>
            <w:webHidden/>
          </w:rPr>
          <w:instrText xml:space="preserve"> PAGEREF _Toc51850943 \h </w:instrText>
        </w:r>
        <w:r w:rsidR="00407B12">
          <w:rPr>
            <w:noProof/>
            <w:webHidden/>
          </w:rPr>
        </w:r>
        <w:r w:rsidR="00407B12">
          <w:rPr>
            <w:noProof/>
            <w:webHidden/>
          </w:rPr>
          <w:fldChar w:fldCharType="separate"/>
        </w:r>
        <w:r w:rsidR="00407B12">
          <w:rPr>
            <w:noProof/>
            <w:webHidden/>
          </w:rPr>
          <w:t>21</w:t>
        </w:r>
        <w:r w:rsidR="00407B12">
          <w:rPr>
            <w:noProof/>
            <w:webHidden/>
          </w:rPr>
          <w:fldChar w:fldCharType="end"/>
        </w:r>
      </w:hyperlink>
    </w:p>
    <w:p w:rsidR="008B5AFD" w:rsidRDefault="00915F49" w:rsidP="003E2B5E">
      <w:pPr>
        <w:pStyle w:val="TOC1"/>
      </w:pPr>
      <w:r>
        <w:fldChar w:fldCharType="end"/>
      </w:r>
    </w:p>
    <w:p w:rsidR="003E2B5E" w:rsidRPr="008B5AFD" w:rsidRDefault="003E2B5E" w:rsidP="008B5AFD"/>
    <w:p w:rsidR="00257FF4" w:rsidRDefault="00257FF4" w:rsidP="00257FF4">
      <w:pPr>
        <w:sectPr w:rsidR="00257FF4" w:rsidSect="0050346A">
          <w:headerReference w:type="even" r:id="rId48"/>
          <w:headerReference w:type="default" r:id="rId49"/>
          <w:headerReference w:type="first" r:id="rId50"/>
          <w:footerReference w:type="first" r:id="rId51"/>
          <w:type w:val="oddPage"/>
          <w:pgSz w:w="11906" w:h="16838" w:code="9"/>
          <w:pgMar w:top="2466" w:right="2098" w:bottom="2466" w:left="2098" w:header="1899" w:footer="1899" w:gutter="0"/>
          <w:cols w:space="708"/>
          <w:titlePg/>
          <w:docGrid w:linePitch="360"/>
        </w:sectPr>
      </w:pPr>
    </w:p>
    <w:p w:rsidR="00257FF4" w:rsidRDefault="00F15D2B" w:rsidP="00834F9A">
      <w:pPr>
        <w:pStyle w:val="Heading1"/>
      </w:pPr>
      <w:r w:rsidRPr="00834F9A">
        <w:lastRenderedPageBreak/>
        <w:t>P</w:t>
      </w:r>
      <w:r>
        <w:t>arliamentary Budget Office</w:t>
      </w:r>
    </w:p>
    <w:p w:rsidR="00257FF4" w:rsidRPr="002C4D41" w:rsidRDefault="00257FF4" w:rsidP="00257FF4">
      <w:pPr>
        <w:pStyle w:val="Heading2"/>
      </w:pPr>
      <w:bookmarkStart w:id="16" w:name="_Toc190682308"/>
      <w:bookmarkStart w:id="17" w:name="_Toc190682526"/>
      <w:bookmarkStart w:id="18" w:name="_Toc444523508"/>
      <w:bookmarkStart w:id="19" w:name="_Toc51850937"/>
      <w:r w:rsidRPr="002C4D41">
        <w:t xml:space="preserve">Section 1: </w:t>
      </w:r>
      <w:r w:rsidR="007E6BBD" w:rsidRPr="002C4D41">
        <w:t xml:space="preserve">Entity </w:t>
      </w:r>
      <w:r w:rsidR="00605163" w:rsidRPr="002C4D41">
        <w:t>overview and resources</w:t>
      </w:r>
      <w:bookmarkEnd w:id="16"/>
      <w:bookmarkEnd w:id="17"/>
      <w:bookmarkEnd w:id="18"/>
      <w:bookmarkEnd w:id="19"/>
    </w:p>
    <w:p w:rsidR="00257FF4" w:rsidRDefault="00257FF4" w:rsidP="00257FF4">
      <w:pPr>
        <w:pStyle w:val="Heading3"/>
      </w:pPr>
      <w:bookmarkStart w:id="20" w:name="_Toc190682309"/>
      <w:bookmarkStart w:id="21" w:name="_Toc190682527"/>
      <w:bookmarkStart w:id="22" w:name="_Toc444523509"/>
      <w:bookmarkStart w:id="23" w:name="_Toc51850938"/>
      <w:r>
        <w:t>1.1</w:t>
      </w:r>
      <w:r>
        <w:tab/>
        <w:t xml:space="preserve">Strategic </w:t>
      </w:r>
      <w:r w:rsidR="00D81071">
        <w:t>direction</w:t>
      </w:r>
      <w:bookmarkEnd w:id="20"/>
      <w:bookmarkEnd w:id="21"/>
      <w:r w:rsidR="00D81071">
        <w:t xml:space="preserve"> </w:t>
      </w:r>
      <w:r w:rsidR="00605163">
        <w:t>statement</w:t>
      </w:r>
      <w:bookmarkEnd w:id="22"/>
      <w:bookmarkEnd w:id="23"/>
    </w:p>
    <w:p w:rsidR="00F15D2B" w:rsidRDefault="00F15D2B" w:rsidP="00F15D2B">
      <w:pPr>
        <w:pStyle w:val="Exampletext"/>
        <w:rPr>
          <w:i w:val="0"/>
          <w:color w:val="000000" w:themeColor="text1"/>
          <w:lang w:val="en-AU"/>
        </w:rPr>
      </w:pPr>
      <w:bookmarkStart w:id="24" w:name="_Toc190682310"/>
      <w:bookmarkStart w:id="25" w:name="_Toc190682528"/>
      <w:r w:rsidRPr="00453B4D">
        <w:rPr>
          <w:i w:val="0"/>
          <w:color w:val="000000" w:themeColor="text1"/>
          <w:lang w:val="en-AU"/>
        </w:rPr>
        <w:t>The Parliamentary Budget Office (PBO)</w:t>
      </w:r>
      <w:r>
        <w:rPr>
          <w:i w:val="0"/>
          <w:color w:val="000000" w:themeColor="text1"/>
          <w:lang w:val="en-AU"/>
        </w:rPr>
        <w:t>, as an independent and non-partisan institution, engages with the Parliament to help improve the integrity of the policy development process, better inform public policy debates and strengthen budget and fiscal policy transparency.</w:t>
      </w:r>
    </w:p>
    <w:p w:rsidR="00F15D2B" w:rsidRDefault="00F15D2B" w:rsidP="00F15D2B">
      <w:pPr>
        <w:pStyle w:val="Exampletext"/>
        <w:rPr>
          <w:i w:val="0"/>
          <w:color w:val="000000" w:themeColor="text1"/>
          <w:lang w:val="en-AU"/>
        </w:rPr>
      </w:pPr>
      <w:r>
        <w:rPr>
          <w:i w:val="0"/>
          <w:color w:val="000000" w:themeColor="text1"/>
          <w:lang w:val="en-AU"/>
        </w:rPr>
        <w:t xml:space="preserve">To support the 2020–21 Portfolio Budget Statements (PB Statements) and in accordance with section 64Q of the </w:t>
      </w:r>
      <w:r>
        <w:rPr>
          <w:color w:val="000000" w:themeColor="text1"/>
          <w:lang w:val="en-AU"/>
        </w:rPr>
        <w:t>Parliamentary Service Act 1999</w:t>
      </w:r>
      <w:r>
        <w:rPr>
          <w:i w:val="0"/>
          <w:color w:val="000000" w:themeColor="text1"/>
          <w:lang w:val="en-AU"/>
        </w:rPr>
        <w:t>, the Acting Parliamentary Budget Officer, in consultation with the Joint Committee of Public Accounts and Audit, has prepared a work plan for the PBO setting out:</w:t>
      </w:r>
    </w:p>
    <w:p w:rsidR="00F15D2B" w:rsidRDefault="00F15D2B" w:rsidP="001135C3">
      <w:pPr>
        <w:pStyle w:val="Exampletext"/>
        <w:numPr>
          <w:ilvl w:val="0"/>
          <w:numId w:val="12"/>
        </w:numPr>
        <w:ind w:left="426" w:hanging="426"/>
        <w:rPr>
          <w:i w:val="0"/>
          <w:color w:val="000000" w:themeColor="text1"/>
          <w:lang w:val="en-AU"/>
        </w:rPr>
      </w:pPr>
      <w:r>
        <w:rPr>
          <w:i w:val="0"/>
          <w:color w:val="000000" w:themeColor="text1"/>
          <w:lang w:val="en-AU"/>
        </w:rPr>
        <w:t>the priorities for the PBO for the 2020–21 financial year</w:t>
      </w:r>
    </w:p>
    <w:p w:rsidR="00F15D2B" w:rsidRDefault="00F15D2B" w:rsidP="001135C3">
      <w:pPr>
        <w:pStyle w:val="Exampletext"/>
        <w:numPr>
          <w:ilvl w:val="0"/>
          <w:numId w:val="12"/>
        </w:numPr>
        <w:ind w:left="426" w:hanging="426"/>
        <w:rPr>
          <w:i w:val="0"/>
          <w:color w:val="000000" w:themeColor="text1"/>
          <w:lang w:val="en-AU"/>
        </w:rPr>
      </w:pPr>
      <w:proofErr w:type="gramStart"/>
      <w:r>
        <w:rPr>
          <w:i w:val="0"/>
          <w:color w:val="000000" w:themeColor="text1"/>
          <w:lang w:val="en-AU"/>
        </w:rPr>
        <w:t>protocols</w:t>
      </w:r>
      <w:proofErr w:type="gramEnd"/>
      <w:r>
        <w:rPr>
          <w:i w:val="0"/>
          <w:color w:val="000000" w:themeColor="text1"/>
          <w:lang w:val="en-AU"/>
        </w:rPr>
        <w:t xml:space="preserve"> for the allocation of the resources for the PBO during the financial year.</w:t>
      </w:r>
    </w:p>
    <w:p w:rsidR="00F15D2B" w:rsidRDefault="00F15D2B" w:rsidP="00F15D2B">
      <w:pPr>
        <w:pStyle w:val="Exampletext"/>
        <w:rPr>
          <w:i w:val="0"/>
          <w:color w:val="000000" w:themeColor="text1"/>
          <w:lang w:val="en-AU"/>
        </w:rPr>
      </w:pPr>
      <w:r>
        <w:rPr>
          <w:i w:val="0"/>
          <w:color w:val="000000" w:themeColor="text1"/>
          <w:lang w:val="en-AU"/>
        </w:rPr>
        <w:t xml:space="preserve">This information is incorporated into the PBO’s 2020–21 Corporate plan, and was released </w:t>
      </w:r>
      <w:r w:rsidRPr="00640161">
        <w:rPr>
          <w:i w:val="0"/>
          <w:color w:val="000000" w:themeColor="text1"/>
          <w:lang w:val="en-AU"/>
        </w:rPr>
        <w:t xml:space="preserve">on </w:t>
      </w:r>
      <w:r w:rsidR="00640161" w:rsidRPr="00640161">
        <w:rPr>
          <w:i w:val="0"/>
          <w:color w:val="000000" w:themeColor="text1"/>
          <w:lang w:val="en-AU"/>
        </w:rPr>
        <w:t>16</w:t>
      </w:r>
      <w:r w:rsidRPr="00640161">
        <w:rPr>
          <w:i w:val="0"/>
          <w:color w:val="000000" w:themeColor="text1"/>
          <w:lang w:val="en-AU"/>
        </w:rPr>
        <w:t xml:space="preserve"> </w:t>
      </w:r>
      <w:r w:rsidR="00B7527B" w:rsidRPr="00640161">
        <w:rPr>
          <w:i w:val="0"/>
          <w:color w:val="000000" w:themeColor="text1"/>
          <w:lang w:val="en-AU"/>
        </w:rPr>
        <w:t>September</w:t>
      </w:r>
      <w:r w:rsidRPr="00640161">
        <w:rPr>
          <w:i w:val="0"/>
          <w:color w:val="000000" w:themeColor="text1"/>
          <w:lang w:val="en-AU"/>
        </w:rPr>
        <w:t xml:space="preserve"> 2020</w:t>
      </w:r>
      <w:r>
        <w:rPr>
          <w:i w:val="0"/>
          <w:color w:val="000000" w:themeColor="text1"/>
          <w:lang w:val="en-AU"/>
        </w:rPr>
        <w:t>.</w:t>
      </w:r>
    </w:p>
    <w:p w:rsidR="00257FF4" w:rsidRDefault="000B36D8" w:rsidP="0079797F">
      <w:pPr>
        <w:pStyle w:val="Heading3"/>
      </w:pPr>
      <w:r w:rsidRPr="0079797F">
        <w:br w:type="page"/>
      </w:r>
      <w:bookmarkStart w:id="26" w:name="_Toc444523510"/>
      <w:bookmarkStart w:id="27" w:name="_Toc51850939"/>
      <w:r w:rsidR="00257FF4">
        <w:lastRenderedPageBreak/>
        <w:t>1.2</w:t>
      </w:r>
      <w:r w:rsidR="00257FF4">
        <w:tab/>
      </w:r>
      <w:r w:rsidR="007E6BBD">
        <w:t xml:space="preserve">Entity </w:t>
      </w:r>
      <w:r w:rsidR="00257FF4">
        <w:t>resource statement</w:t>
      </w:r>
      <w:bookmarkEnd w:id="24"/>
      <w:bookmarkEnd w:id="25"/>
      <w:bookmarkEnd w:id="26"/>
      <w:bookmarkEnd w:id="27"/>
    </w:p>
    <w:p w:rsidR="00F15D2B" w:rsidRDefault="00F15D2B" w:rsidP="00F15D2B">
      <w:bookmarkStart w:id="28" w:name="OLE_LINK11"/>
      <w:bookmarkStart w:id="29" w:name="OLE_LINK12"/>
      <w:r>
        <w:t>Table 1.1 shows the total funding from all sources.  The table summarises how resources will be applied by the PBO.</w:t>
      </w:r>
    </w:p>
    <w:p w:rsidR="00F15D2B" w:rsidRDefault="00F15D2B" w:rsidP="00F15D2B">
      <w:r>
        <w:t>Information in this table is presented on a resourcing (that is, appropriations/cash available) basis, whilst the ‘Budgeted expenses for its Outcome’ table in Section 2 and the financial statements in Section 3 are presented on an accrual basis.</w:t>
      </w:r>
    </w:p>
    <w:bookmarkEnd w:id="28"/>
    <w:bookmarkEnd w:id="29"/>
    <w:p w:rsidR="00CB2844" w:rsidRPr="0082126A" w:rsidRDefault="00741BF8" w:rsidP="00D44150">
      <w:pPr>
        <w:pStyle w:val="TableHeading"/>
        <w:rPr>
          <w:b w:val="0"/>
          <w:lang w:val="en-AU"/>
        </w:rPr>
      </w:pPr>
      <w:r w:rsidRPr="00D44150">
        <w:t xml:space="preserve">Table 1.1: </w:t>
      </w:r>
      <w:r w:rsidR="00F15D2B">
        <w:rPr>
          <w:lang w:val="en-AU"/>
        </w:rPr>
        <w:t>PBO</w:t>
      </w:r>
      <w:r w:rsidRPr="00D44150">
        <w:t xml:space="preserve"> resource statement</w:t>
      </w:r>
      <w:r w:rsidR="0066176D">
        <w:t xml:space="preserve"> — Budget estimates for 2020-21 </w:t>
      </w:r>
      <w:r w:rsidRPr="00D44150">
        <w:t xml:space="preserve">as at Budget </w:t>
      </w:r>
      <w:r w:rsidR="00AE4CEC" w:rsidRPr="00D44150">
        <w:t xml:space="preserve">October </w:t>
      </w:r>
      <w:r w:rsidR="00CB2844" w:rsidRPr="00D44150">
        <w:t>2020</w:t>
      </w:r>
      <w:r w:rsidR="0082126A">
        <w:rPr>
          <w:lang w:val="en-AU"/>
        </w:rPr>
        <w:br/>
      </w:r>
    </w:p>
    <w:p w:rsidR="00F94E8C" w:rsidRDefault="000277D5">
      <w:pPr>
        <w:spacing w:after="0" w:line="240" w:lineRule="auto"/>
        <w:jc w:val="left"/>
        <w:rPr>
          <w:rFonts w:ascii="Arial" w:hAnsi="Arial"/>
          <w:b/>
          <w:color w:val="000000"/>
          <w:lang w:eastAsia="x-none"/>
        </w:rPr>
      </w:pPr>
      <w:r w:rsidRPr="000277D5">
        <w:rPr>
          <w:noProof/>
        </w:rPr>
        <w:drawing>
          <wp:inline distT="0" distB="0" distL="0" distR="0">
            <wp:extent cx="4614545" cy="2583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4545" cy="2583815"/>
                    </a:xfrm>
                    <a:prstGeom prst="rect">
                      <a:avLst/>
                    </a:prstGeom>
                    <a:noFill/>
                    <a:ln>
                      <a:noFill/>
                    </a:ln>
                  </pic:spPr>
                </pic:pic>
              </a:graphicData>
            </a:graphic>
          </wp:inline>
        </w:drawing>
      </w:r>
    </w:p>
    <w:p w:rsidR="000277D5" w:rsidRDefault="000277D5" w:rsidP="00384165">
      <w:pPr>
        <w:pStyle w:val="ChartandTableFootnote"/>
        <w:spacing w:before="240" w:line="276" w:lineRule="auto"/>
      </w:pPr>
      <w:r>
        <w:t>All figures shown above are GST exclusive - these may not match figures in the cash flow statement.</w:t>
      </w:r>
      <w:r>
        <w:tab/>
      </w:r>
    </w:p>
    <w:p w:rsidR="000277D5" w:rsidRDefault="000277D5" w:rsidP="00553255">
      <w:pPr>
        <w:pStyle w:val="ChartandTableFootnote"/>
        <w:spacing w:line="276" w:lineRule="auto"/>
      </w:pPr>
      <w:r>
        <w:t>Prepared on a resourcing (i.e. appropriations available) basis.</w:t>
      </w:r>
      <w:r>
        <w:tab/>
      </w:r>
      <w:r w:rsidR="00104D46">
        <w:rPr>
          <w:lang w:val="en-AU"/>
        </w:rPr>
        <w:br/>
      </w:r>
      <w:r>
        <w:tab/>
      </w:r>
    </w:p>
    <w:p w:rsidR="000277D5" w:rsidRDefault="000277D5" w:rsidP="001135C3">
      <w:pPr>
        <w:pStyle w:val="ChartandTableFootnoteAlpha"/>
        <w:numPr>
          <w:ilvl w:val="0"/>
          <w:numId w:val="9"/>
        </w:numPr>
        <w:spacing w:line="276" w:lineRule="auto"/>
      </w:pPr>
      <w:r>
        <w:t>Appropriation (Parliamentary Departments) Bill (No. 1) 2020-21.</w:t>
      </w:r>
      <w:r>
        <w:tab/>
      </w:r>
      <w:r>
        <w:tab/>
      </w:r>
    </w:p>
    <w:p w:rsidR="000277D5" w:rsidRDefault="000277D5" w:rsidP="001135C3">
      <w:pPr>
        <w:pStyle w:val="ChartandTableFootnoteAlpha"/>
        <w:numPr>
          <w:ilvl w:val="0"/>
          <w:numId w:val="9"/>
        </w:numPr>
        <w:spacing w:line="276" w:lineRule="auto"/>
        <w:rPr>
          <w:b/>
          <w:color w:val="000000"/>
          <w:lang w:eastAsia="x-none"/>
        </w:rPr>
      </w:pPr>
      <w:r w:rsidRPr="000277D5">
        <w:rPr>
          <w:i/>
        </w:rPr>
        <w:t>Parliamentary Service Act 1999</w:t>
      </w:r>
      <w:r>
        <w:rPr>
          <w:i/>
        </w:rPr>
        <w:t xml:space="preserve"> </w:t>
      </w:r>
      <w:r>
        <w:t>section 64D.</w:t>
      </w:r>
      <w:r>
        <w:tab/>
      </w:r>
      <w:r>
        <w:tab/>
      </w:r>
      <w:r>
        <w:br w:type="page"/>
      </w:r>
    </w:p>
    <w:p w:rsidR="00BE7D58" w:rsidRPr="00810C6A" w:rsidRDefault="00BE7D58" w:rsidP="00810C6A">
      <w:pPr>
        <w:pStyle w:val="Heading2"/>
      </w:pPr>
      <w:bookmarkStart w:id="30" w:name="_Toc444523512"/>
      <w:bookmarkStart w:id="31" w:name="_Toc51850940"/>
      <w:bookmarkStart w:id="32" w:name="_Toc190682312"/>
      <w:bookmarkStart w:id="33" w:name="_Toc190682530"/>
      <w:r w:rsidRPr="00810C6A">
        <w:lastRenderedPageBreak/>
        <w:t xml:space="preserve">Section 2: Outcomes and </w:t>
      </w:r>
      <w:r w:rsidR="00CD3382" w:rsidRPr="00810C6A">
        <w:t>p</w:t>
      </w:r>
      <w:r w:rsidR="0069466B" w:rsidRPr="00810C6A">
        <w:t>lanned</w:t>
      </w:r>
      <w:r w:rsidRPr="00810C6A">
        <w:t xml:space="preserve"> performance</w:t>
      </w:r>
      <w:bookmarkEnd w:id="30"/>
      <w:bookmarkEnd w:id="31"/>
    </w:p>
    <w:p w:rsidR="00F15D2B" w:rsidRDefault="00F15D2B" w:rsidP="00F15D2B">
      <w:r>
        <w:t xml:space="preserve">The Parliamentary Budget Office (PBO) outcome is described at section 2.1, specifying the performance indicators and targets used to assess and monitor the performance of the PBO.  This performance information </w:t>
      </w:r>
      <w:r w:rsidR="007C32F0">
        <w:t xml:space="preserve">is the same as that included </w:t>
      </w:r>
      <w:r>
        <w:t xml:space="preserve">in the PBO’s 2020–21 </w:t>
      </w:r>
      <w:proofErr w:type="gramStart"/>
      <w:r>
        <w:t>Corporate</w:t>
      </w:r>
      <w:proofErr w:type="gramEnd"/>
      <w:r>
        <w:t xml:space="preserve"> plan.</w:t>
      </w:r>
    </w:p>
    <w:p w:rsidR="00F15D2B" w:rsidRPr="005E6F2B" w:rsidRDefault="00F15D2B" w:rsidP="00F15D2B">
      <w:r>
        <w:t>The outcome described at section 2.1 provides detailed information on expenses broken down by funding source.</w:t>
      </w:r>
    </w:p>
    <w:p w:rsidR="00810C6A" w:rsidRPr="006906E4" w:rsidRDefault="00810C6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3876AB" w:rsidRDefault="00173F5C" w:rsidP="00810C6A">
      <w:pPr>
        <w:pBdr>
          <w:top w:val="single" w:sz="2" w:space="6" w:color="auto"/>
          <w:left w:val="single" w:sz="2" w:space="4" w:color="auto"/>
          <w:bottom w:val="single" w:sz="2" w:space="6" w:color="auto"/>
          <w:right w:val="single" w:sz="2" w:space="4" w:color="auto"/>
        </w:pBdr>
      </w:pPr>
      <w:r>
        <w:t>P</w:t>
      </w:r>
      <w:r w:rsidR="00810C6A">
        <w:t xml:space="preserve">erformance reporting requirements in the Portfolio Budget Statements </w:t>
      </w:r>
      <w:r w:rsidR="00801EF6">
        <w:t>are part of the Commonwealth performance f</w:t>
      </w:r>
      <w:r w:rsidR="00810C6A">
        <w:t>ramework</w:t>
      </w:r>
      <w:r w:rsidR="00801EF6">
        <w:t xml:space="preserve"> established by the </w:t>
      </w:r>
      <w:r w:rsidR="00801EF6" w:rsidRPr="00801EF6">
        <w:rPr>
          <w:i/>
        </w:rPr>
        <w:t>Public Governance, Performance and Accountability Act 2013</w:t>
      </w:r>
      <w:r w:rsidR="00801EF6">
        <w:t xml:space="preserve">. It is </w:t>
      </w:r>
      <w:r w:rsidR="00810C6A">
        <w:t xml:space="preserve">anticipated that the performance criteria described in Portfolio Budget Statements will be read with broader information provided in an entity’s corporate plans and annual performance statements – included in Annual Reports </w:t>
      </w:r>
      <w:r w:rsidR="00801EF6">
        <w:t xml:space="preserve">- </w:t>
      </w:r>
      <w:r w:rsidR="00810C6A">
        <w:t xml:space="preserve">to provide </w:t>
      </w:r>
      <w:r w:rsidR="00BC76B4">
        <w:t xml:space="preserve">a complete picture of </w:t>
      </w:r>
      <w:r w:rsidR="00810C6A">
        <w:t xml:space="preserve">an entity’s </w:t>
      </w:r>
      <w:r w:rsidR="00BC76B4">
        <w:t xml:space="preserve">planned and actual </w:t>
      </w:r>
      <w:r w:rsidR="00810C6A">
        <w:t>performance.</w:t>
      </w:r>
    </w:p>
    <w:p w:rsidR="00E60C7D" w:rsidRDefault="00173F5C" w:rsidP="006421F3">
      <w:pPr>
        <w:pBdr>
          <w:top w:val="single" w:sz="2" w:space="6" w:color="auto"/>
          <w:left w:val="single" w:sz="2" w:space="4" w:color="auto"/>
          <w:bottom w:val="single" w:sz="2" w:space="6" w:color="auto"/>
          <w:right w:val="single" w:sz="2" w:space="4" w:color="auto"/>
        </w:pBdr>
        <w:jc w:val="left"/>
      </w:pPr>
      <w:r>
        <w:t xml:space="preserve">The </w:t>
      </w:r>
      <w:r w:rsidR="00282912">
        <w:t xml:space="preserve">most recent corporate plan for the PBO </w:t>
      </w:r>
      <w:r>
        <w:t xml:space="preserve">can be found at: </w:t>
      </w:r>
      <w:r w:rsidR="00E60C7D">
        <w:br/>
      </w:r>
      <w:hyperlink r:id="rId53" w:history="1">
        <w:r w:rsidR="00E60C7D" w:rsidRPr="000301CE">
          <w:rPr>
            <w:rStyle w:val="Hyperlink"/>
          </w:rPr>
          <w:t>https://www.aph.gov.au/About_Parliament/Parliamentary_Departments/Parliamentary_Budget_Office/About_the_PBO/Corporate_information/Corporate_plans/Corporate_plan_2020-21</w:t>
        </w:r>
      </w:hyperlink>
      <w:r w:rsidR="00E60C7D">
        <w:t xml:space="preserve"> </w:t>
      </w:r>
    </w:p>
    <w:p w:rsidR="00173F5C" w:rsidRPr="00E60C7D" w:rsidRDefault="00173F5C" w:rsidP="006421F3">
      <w:pPr>
        <w:pBdr>
          <w:top w:val="single" w:sz="2" w:space="6" w:color="auto"/>
          <w:left w:val="single" w:sz="2" w:space="4" w:color="auto"/>
          <w:bottom w:val="single" w:sz="2" w:space="6" w:color="auto"/>
          <w:right w:val="single" w:sz="2" w:space="4" w:color="auto"/>
        </w:pBdr>
        <w:jc w:val="left"/>
      </w:pPr>
      <w:r>
        <w:t>The most recent annual performance statement can be found at</w:t>
      </w:r>
      <w:proofErr w:type="gramStart"/>
      <w:r>
        <w:t>:</w:t>
      </w:r>
      <w:proofErr w:type="gramEnd"/>
      <w:r w:rsidR="00E60C7D">
        <w:br/>
      </w:r>
      <w:hyperlink r:id="rId54" w:history="1">
        <w:r w:rsidR="00E60C7D" w:rsidRPr="000301CE">
          <w:rPr>
            <w:rStyle w:val="Hyperlink"/>
          </w:rPr>
          <w:t>https://www.aph.gov.au/About_Parliament/Parliamentary_Departments/Parliamentary_Budget_Office/About_the_PBO/Corporate_information/Annual_reports/Annual_Report_2018-19</w:t>
        </w:r>
      </w:hyperlink>
      <w:r w:rsidR="00E60C7D">
        <w:t xml:space="preserve"> </w:t>
      </w:r>
    </w:p>
    <w:p w:rsidR="00810C6A" w:rsidRDefault="00810C6A" w:rsidP="00BE7D58">
      <w:pPr>
        <w:rPr>
          <w:highlight w:val="yellow"/>
        </w:rPr>
      </w:pPr>
    </w:p>
    <w:p w:rsidR="00950281" w:rsidRDefault="00950281" w:rsidP="003876AB">
      <w:pPr>
        <w:pStyle w:val="Heading3"/>
        <w:sectPr w:rsidR="00950281" w:rsidSect="0050346A">
          <w:headerReference w:type="even" r:id="rId55"/>
          <w:headerReference w:type="default" r:id="rId56"/>
          <w:headerReference w:type="first" r:id="rId57"/>
          <w:footerReference w:type="first" r:id="rId58"/>
          <w:type w:val="oddPage"/>
          <w:pgSz w:w="11906" w:h="16838" w:code="9"/>
          <w:pgMar w:top="2466" w:right="2098" w:bottom="2466" w:left="2098" w:header="1899" w:footer="1899" w:gutter="0"/>
          <w:cols w:space="708"/>
          <w:titlePg/>
          <w:docGrid w:linePitch="360"/>
        </w:sectPr>
      </w:pPr>
    </w:p>
    <w:p w:rsidR="003876AB" w:rsidRPr="00F743D8" w:rsidRDefault="008462FB" w:rsidP="003876AB">
      <w:pPr>
        <w:pStyle w:val="Heading3"/>
      </w:pPr>
      <w:bookmarkStart w:id="34" w:name="_Toc51850941"/>
      <w:bookmarkStart w:id="35" w:name="_Toc444523513"/>
      <w:r>
        <w:lastRenderedPageBreak/>
        <w:t>2.1</w:t>
      </w:r>
      <w:r w:rsidR="003876AB" w:rsidRPr="00F743D8">
        <w:t xml:space="preserve"> </w:t>
      </w:r>
      <w:r w:rsidR="003876AB" w:rsidRPr="00F743D8">
        <w:tab/>
        <w:t>Budgeted expenses and performance</w:t>
      </w:r>
      <w:bookmarkEnd w:id="34"/>
      <w:r w:rsidR="003876AB" w:rsidRPr="00F743D8">
        <w:t xml:space="preserve"> </w:t>
      </w:r>
      <w:bookmarkEnd w:id="3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302100" w:rsidRPr="005E6F2B" w:rsidTr="006B62C1">
        <w:tc>
          <w:tcPr>
            <w:tcW w:w="7713" w:type="dxa"/>
            <w:shd w:val="clear" w:color="auto" w:fill="E6E6E6"/>
          </w:tcPr>
          <w:p w:rsidR="00302100" w:rsidRPr="005E6F2B" w:rsidRDefault="00302100" w:rsidP="006B62C1">
            <w:pPr>
              <w:pStyle w:val="TableColumnHeadingLeft"/>
            </w:pPr>
            <w:r>
              <w:t>Outcome</w:t>
            </w:r>
            <w:r w:rsidRPr="005E6F2B">
              <w:t>:</w:t>
            </w:r>
            <w:r>
              <w:t xml:space="preserve">  Inform the Parliament by providing independent and non-partisan analysis of the budget cycle, fiscal policy and the financial implications of proposals</w:t>
            </w:r>
            <w:r w:rsidRPr="005E6F2B">
              <w:t xml:space="preserve"> </w:t>
            </w:r>
          </w:p>
        </w:tc>
      </w:tr>
    </w:tbl>
    <w:p w:rsidR="00302100" w:rsidRDefault="00302100" w:rsidP="00F00984">
      <w:pPr>
        <w:pStyle w:val="Heading5"/>
      </w:pPr>
    </w:p>
    <w:p w:rsidR="00B86CCD" w:rsidRPr="00446612" w:rsidRDefault="00B86CCD" w:rsidP="00F00984">
      <w:pPr>
        <w:pStyle w:val="Heading5"/>
      </w:pPr>
      <w:r w:rsidRPr="00446612">
        <w:t xml:space="preserve">Budgeted expenses </w:t>
      </w:r>
    </w:p>
    <w:p w:rsidR="0051207B" w:rsidRDefault="00302100" w:rsidP="0051207B">
      <w:r w:rsidRPr="00950281">
        <w:t xml:space="preserve">This table shows how much the </w:t>
      </w:r>
      <w:r>
        <w:t>PBO</w:t>
      </w:r>
      <w:r w:rsidRPr="00950281">
        <w:t xml:space="preserve"> intends to spend (on an accrual basis) on achieving the outcome, broken down by </w:t>
      </w:r>
      <w:r>
        <w:t>funding sources</w:t>
      </w:r>
      <w:r w:rsidR="00B166C6">
        <w:t>.</w:t>
      </w:r>
    </w:p>
    <w:p w:rsidR="00DF2C5D" w:rsidRPr="0082126A" w:rsidRDefault="00DF2C5D" w:rsidP="00DF2C5D">
      <w:pPr>
        <w:pStyle w:val="TableHeading"/>
        <w:rPr>
          <w:lang w:val="en-AU"/>
        </w:rPr>
      </w:pPr>
      <w:r>
        <w:t>Table 2.</w:t>
      </w:r>
      <w:r w:rsidR="00302100">
        <w:rPr>
          <w:lang w:val="en-AU"/>
        </w:rPr>
        <w:t>1</w:t>
      </w:r>
      <w:r>
        <w:t>.1: Budgeted expenses for</w:t>
      </w:r>
      <w:r w:rsidR="00302100">
        <w:rPr>
          <w:lang w:val="en-AU"/>
        </w:rPr>
        <w:t xml:space="preserve"> its</w:t>
      </w:r>
      <w:r>
        <w:t xml:space="preserve"> Outcome</w:t>
      </w:r>
      <w:r w:rsidR="0082126A">
        <w:rPr>
          <w:lang w:val="en-AU"/>
        </w:rPr>
        <w:br/>
      </w:r>
    </w:p>
    <w:p w:rsidR="00DF2C5D" w:rsidRDefault="00384165" w:rsidP="00B92B09">
      <w:pPr>
        <w:pStyle w:val="TableGraphic"/>
      </w:pPr>
      <w:r w:rsidRPr="00384165">
        <w:rPr>
          <w:noProof/>
        </w:rPr>
        <w:drawing>
          <wp:inline distT="0" distB="0" distL="0" distR="0">
            <wp:extent cx="4625340" cy="2530475"/>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5340" cy="2530475"/>
                    </a:xfrm>
                    <a:prstGeom prst="rect">
                      <a:avLst/>
                    </a:prstGeom>
                    <a:noFill/>
                    <a:ln>
                      <a:noFill/>
                    </a:ln>
                  </pic:spPr>
                </pic:pic>
              </a:graphicData>
            </a:graphic>
          </wp:inline>
        </w:drawing>
      </w:r>
    </w:p>
    <w:p w:rsidR="00384165" w:rsidRDefault="00384165" w:rsidP="001135C3">
      <w:pPr>
        <w:pStyle w:val="ChartandTableFootnoteAlpha"/>
        <w:numPr>
          <w:ilvl w:val="0"/>
          <w:numId w:val="15"/>
        </w:numPr>
        <w:spacing w:before="240" w:line="276" w:lineRule="auto"/>
      </w:pPr>
      <w:r>
        <w:t>Departmental appropriation comprises 'Ordinary annual services (Appropriation (Parliamentary Departments) Bill (No. 1))'</w:t>
      </w:r>
      <w:r>
        <w:tab/>
      </w:r>
      <w:r>
        <w:tab/>
      </w:r>
      <w:r>
        <w:tab/>
      </w:r>
      <w:r>
        <w:tab/>
      </w:r>
      <w:r>
        <w:tab/>
      </w:r>
    </w:p>
    <w:p w:rsidR="00384165" w:rsidRDefault="00384165" w:rsidP="001135C3">
      <w:pPr>
        <w:pStyle w:val="ChartandTableFootnoteAlpha"/>
        <w:numPr>
          <w:ilvl w:val="0"/>
          <w:numId w:val="9"/>
        </w:numPr>
        <w:spacing w:line="276" w:lineRule="auto"/>
      </w:pPr>
      <w:r>
        <w:t>Expenses not requiring appropriation in the Budget year are made up of depreciation expenses and resources received free of charge.</w:t>
      </w:r>
      <w:r>
        <w:tab/>
      </w:r>
      <w:r>
        <w:tab/>
      </w:r>
      <w:r>
        <w:br/>
      </w:r>
      <w:r>
        <w:tab/>
      </w:r>
      <w:r>
        <w:tab/>
      </w:r>
      <w:r>
        <w:tab/>
      </w:r>
    </w:p>
    <w:p w:rsidR="00DF2C5D" w:rsidRDefault="00384165" w:rsidP="00384165">
      <w:pPr>
        <w:pStyle w:val="ChartandTableFootnote"/>
        <w:spacing w:line="276" w:lineRule="auto"/>
      </w:pPr>
      <w:r>
        <w:t>Note: Departmental appropriation splits and totals are indicative estimates and may change in the course of the budget year as government priorities change.</w:t>
      </w:r>
      <w:r>
        <w:tab/>
      </w:r>
      <w:r>
        <w:tab/>
      </w:r>
      <w:r>
        <w:tab/>
      </w:r>
      <w:r>
        <w:tab/>
      </w:r>
      <w:r>
        <w:tab/>
      </w:r>
    </w:p>
    <w:p w:rsidR="00AE599E" w:rsidRPr="00AE599E" w:rsidRDefault="00C91347" w:rsidP="00302100">
      <w:pPr>
        <w:pStyle w:val="TableHeading"/>
      </w:pPr>
      <w:r>
        <w:br w:type="page"/>
      </w:r>
      <w:bookmarkStart w:id="36" w:name="_Toc190682315"/>
      <w:bookmarkStart w:id="37" w:name="_Toc190682532"/>
      <w:bookmarkEnd w:id="32"/>
      <w:bookmarkEnd w:id="33"/>
    </w:p>
    <w:p w:rsidR="00C854F5" w:rsidRPr="00302100" w:rsidRDefault="008E5BB7" w:rsidP="00302100">
      <w:pPr>
        <w:pStyle w:val="TableHeading"/>
        <w:spacing w:before="240"/>
        <w:rPr>
          <w:lang w:val="en-AU"/>
        </w:rPr>
      </w:pPr>
      <w:r w:rsidRPr="00F71634">
        <w:lastRenderedPageBreak/>
        <w:t>Table 2.</w:t>
      </w:r>
      <w:r w:rsidR="00302100">
        <w:rPr>
          <w:lang w:val="en-AU"/>
        </w:rPr>
        <w:t>1</w:t>
      </w:r>
      <w:r w:rsidRPr="00F71634">
        <w:t>.</w:t>
      </w:r>
      <w:r w:rsidR="00302100">
        <w:rPr>
          <w:lang w:val="en-AU"/>
        </w:rPr>
        <w:t>2</w:t>
      </w:r>
      <w:r w:rsidRPr="00F71634">
        <w:t xml:space="preserve">: Performance criteria for </w:t>
      </w:r>
      <w:r w:rsidR="00302100">
        <w:rPr>
          <w:lang w:val="en-AU"/>
        </w:rPr>
        <w:t xml:space="preserve">its </w:t>
      </w:r>
      <w:r w:rsidRPr="00F71634">
        <w:t>Outcome</w:t>
      </w:r>
    </w:p>
    <w:p w:rsidR="00691E49" w:rsidRPr="00F71634" w:rsidRDefault="00302100" w:rsidP="00302100">
      <w:pPr>
        <w:tabs>
          <w:tab w:val="left" w:pos="709"/>
        </w:tabs>
        <w:spacing w:before="240"/>
        <w:jc w:val="left"/>
      </w:pPr>
      <w:r w:rsidRPr="00B166C6">
        <w:t>Table 2.</w:t>
      </w:r>
      <w:r>
        <w:t>1</w:t>
      </w:r>
      <w:r w:rsidRPr="00B166C6">
        <w:t>.</w:t>
      </w:r>
      <w:r>
        <w:t>2</w:t>
      </w:r>
      <w:r w:rsidRPr="00B166C6">
        <w:t xml:space="preserve"> below details the performance criteria for </w:t>
      </w:r>
      <w:r>
        <w:t>the PBO program</w:t>
      </w:r>
      <w:r w:rsidR="008E5BB7" w:rsidRPr="00B166C6">
        <w:t xml:space="preserve">.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F7639C" w:rsidRPr="00F71634" w:rsidTr="00C91347">
        <w:trPr>
          <w:tblHeader/>
        </w:trPr>
        <w:tc>
          <w:tcPr>
            <w:tcW w:w="7741" w:type="dxa"/>
            <w:gridSpan w:val="3"/>
            <w:shd w:val="clear" w:color="auto" w:fill="F2F2F2"/>
          </w:tcPr>
          <w:p w:rsidR="00F7639C" w:rsidRPr="006906E4" w:rsidRDefault="00302100" w:rsidP="00146B5E">
            <w:pPr>
              <w:pStyle w:val="TableColumnHeadingLeft"/>
            </w:pPr>
            <w:r>
              <w:t>Outcome:  Inform the Parliament by providing independent and non-partisan analysis of the budget cycle, fiscal policy and the financial implications of proposals</w:t>
            </w:r>
          </w:p>
        </w:tc>
      </w:tr>
      <w:tr w:rsidR="00F7639C" w:rsidRPr="00F71634" w:rsidTr="00C91347">
        <w:trPr>
          <w:tblHeader/>
        </w:trPr>
        <w:tc>
          <w:tcPr>
            <w:tcW w:w="7741" w:type="dxa"/>
            <w:gridSpan w:val="3"/>
            <w:shd w:val="clear" w:color="auto" w:fill="F2F2F2"/>
          </w:tcPr>
          <w:p w:rsidR="00302100" w:rsidRDefault="00302100" w:rsidP="00302100">
            <w:pPr>
              <w:tabs>
                <w:tab w:val="left" w:pos="709"/>
              </w:tabs>
              <w:spacing w:before="60" w:after="60" w:line="240" w:lineRule="auto"/>
              <w:jc w:val="left"/>
              <w:rPr>
                <w:rFonts w:ascii="Arial" w:hAnsi="Arial" w:cs="Arial"/>
                <w:b/>
                <w:color w:val="000000" w:themeColor="text1"/>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b/>
                <w:color w:val="000000" w:themeColor="text1"/>
                <w:sz w:val="16"/>
                <w:szCs w:val="16"/>
              </w:rPr>
              <w:t>Parliamentary Budget Office</w:t>
            </w:r>
          </w:p>
          <w:p w:rsidR="00F7639C" w:rsidRPr="006906E4" w:rsidRDefault="00302100" w:rsidP="00302100">
            <w:pPr>
              <w:tabs>
                <w:tab w:val="left" w:pos="709"/>
              </w:tabs>
              <w:spacing w:before="60" w:after="60" w:line="240" w:lineRule="auto"/>
              <w:jc w:val="left"/>
              <w:rPr>
                <w:rFonts w:ascii="Arial" w:hAnsi="Arial" w:cs="Arial"/>
                <w:sz w:val="16"/>
                <w:szCs w:val="16"/>
              </w:rPr>
            </w:pPr>
            <w:r>
              <w:rPr>
                <w:rFonts w:ascii="Arial" w:hAnsi="Arial" w:cs="Arial"/>
                <w:color w:val="000000" w:themeColor="text1"/>
                <w:sz w:val="16"/>
                <w:szCs w:val="16"/>
              </w:rPr>
              <w:t xml:space="preserve">The PBO provides all parliamentarians access to confidential costing and budget analysis </w:t>
            </w:r>
            <w:r>
              <w:rPr>
                <w:rFonts w:ascii="Arial" w:hAnsi="Arial" w:cs="Arial"/>
                <w:sz w:val="16"/>
                <w:szCs w:val="16"/>
              </w:rPr>
              <w:t>services to improve the quality of the public policy debate.  The PBO publishes research to improve public understanding of fiscal and budget policy issues and enhances transparency around the financial implications of election commitments.</w:t>
            </w:r>
          </w:p>
        </w:tc>
      </w:tr>
      <w:tr w:rsidR="00F71634" w:rsidRPr="00F71634" w:rsidTr="00C91347">
        <w:tc>
          <w:tcPr>
            <w:tcW w:w="1701" w:type="dxa"/>
            <w:tcBorders>
              <w:bottom w:val="double" w:sz="4" w:space="0" w:color="auto"/>
            </w:tcBorders>
          </w:tcPr>
          <w:p w:rsidR="00F71634" w:rsidRPr="006906E4" w:rsidRDefault="00F71634"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rsidR="00302100" w:rsidRPr="004856BC" w:rsidRDefault="00302100" w:rsidP="00302100">
            <w:pPr>
              <w:tabs>
                <w:tab w:val="left" w:pos="709"/>
              </w:tabs>
              <w:spacing w:before="60" w:after="60" w:line="240" w:lineRule="auto"/>
              <w:jc w:val="left"/>
              <w:rPr>
                <w:rFonts w:ascii="Arial" w:hAnsi="Arial" w:cs="Arial"/>
                <w:sz w:val="16"/>
                <w:szCs w:val="16"/>
              </w:rPr>
            </w:pPr>
            <w:r w:rsidRPr="004856BC">
              <w:rPr>
                <w:rFonts w:ascii="Arial" w:hAnsi="Arial" w:cs="Arial"/>
                <w:sz w:val="16"/>
                <w:szCs w:val="16"/>
              </w:rPr>
              <w:t>The PBO undertakes policy costings and budget analysis on request from parliamentarians on a confidential basis.  It undertakes robust analysis of fiscal and budget policy issues and publishes this research.  The PBO prepares a</w:t>
            </w:r>
            <w:r w:rsidRPr="004856BC">
              <w:rPr>
                <w:rFonts w:ascii="Arial" w:hAnsi="Arial" w:cs="Arial"/>
                <w:sz w:val="16"/>
                <w:szCs w:val="16"/>
              </w:rPr>
              <w:br/>
              <w:t>post-election report of election commitments after each general election.</w:t>
            </w:r>
          </w:p>
          <w:p w:rsidR="00F71634" w:rsidRPr="006906E4" w:rsidRDefault="00302100" w:rsidP="00302100">
            <w:pPr>
              <w:tabs>
                <w:tab w:val="left" w:pos="709"/>
              </w:tabs>
              <w:spacing w:before="60" w:after="60" w:line="240" w:lineRule="auto"/>
              <w:jc w:val="left"/>
              <w:rPr>
                <w:rFonts w:ascii="Arial" w:hAnsi="Arial" w:cs="Arial"/>
                <w:i/>
                <w:color w:val="FF0000"/>
                <w:sz w:val="16"/>
                <w:szCs w:val="16"/>
              </w:rPr>
            </w:pPr>
            <w:r w:rsidRPr="004856BC">
              <w:rPr>
                <w:rFonts w:ascii="Arial" w:hAnsi="Arial" w:cs="Arial"/>
                <w:sz w:val="16"/>
                <w:szCs w:val="16"/>
              </w:rPr>
              <w:t>The PBO engages widely with other Commonwealth agencies to obtain information to support its research and analysis, and with a range of experts on its published reports and on methodological issues.</w:t>
            </w:r>
          </w:p>
        </w:tc>
      </w:tr>
      <w:tr w:rsidR="00F71634" w:rsidRPr="00F71634" w:rsidTr="00C91347">
        <w:tc>
          <w:tcPr>
            <w:tcW w:w="7741" w:type="dxa"/>
            <w:gridSpan w:val="3"/>
            <w:tcBorders>
              <w:top w:val="double" w:sz="4" w:space="0" w:color="auto"/>
              <w:bottom w:val="double" w:sz="4" w:space="0" w:color="auto"/>
            </w:tcBorders>
          </w:tcPr>
          <w:p w:rsidR="00F71634" w:rsidRPr="006906E4" w:rsidRDefault="00F71634"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6906E4" w:rsidRPr="00F71634" w:rsidTr="00C91347">
        <w:tc>
          <w:tcPr>
            <w:tcW w:w="1701" w:type="dxa"/>
            <w:tcBorders>
              <w:top w:val="double" w:sz="4" w:space="0" w:color="auto"/>
              <w:bottom w:val="single" w:sz="4" w:space="0" w:color="auto"/>
              <w:right w:val="single" w:sz="4" w:space="0" w:color="auto"/>
            </w:tcBorders>
          </w:tcPr>
          <w:p w:rsidR="00F7639C" w:rsidRPr="006906E4" w:rsidRDefault="00F71634"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F7639C" w:rsidRPr="006906E4" w:rsidRDefault="00F71634"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rsidR="00F7639C" w:rsidRPr="006906E4" w:rsidRDefault="00995582" w:rsidP="006906E4">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6906E4" w:rsidRPr="00F71634" w:rsidTr="00C91347">
        <w:trPr>
          <w:trHeight w:val="60"/>
        </w:trPr>
        <w:tc>
          <w:tcPr>
            <w:tcW w:w="1701" w:type="dxa"/>
            <w:tcBorders>
              <w:top w:val="single" w:sz="4" w:space="0" w:color="auto"/>
              <w:bottom w:val="dotted" w:sz="4" w:space="0" w:color="auto"/>
              <w:right w:val="single" w:sz="4" w:space="0" w:color="auto"/>
            </w:tcBorders>
          </w:tcPr>
          <w:p w:rsidR="00F71634" w:rsidRPr="006906E4" w:rsidRDefault="00D52088"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rsidR="00302100" w:rsidRPr="004856BC" w:rsidRDefault="00302100" w:rsidP="00302100">
            <w:pPr>
              <w:tabs>
                <w:tab w:val="left" w:pos="709"/>
              </w:tabs>
              <w:spacing w:before="60" w:after="60" w:line="240" w:lineRule="auto"/>
              <w:jc w:val="left"/>
              <w:rPr>
                <w:rFonts w:ascii="Arial" w:hAnsi="Arial" w:cs="Arial"/>
                <w:sz w:val="16"/>
                <w:szCs w:val="16"/>
              </w:rPr>
            </w:pPr>
            <w:r w:rsidRPr="004856BC">
              <w:rPr>
                <w:rFonts w:ascii="Arial" w:hAnsi="Arial" w:cs="Arial"/>
                <w:sz w:val="16"/>
                <w:szCs w:val="16"/>
              </w:rPr>
              <w:t>The PBO’s outputs are relevant, high quality and timely.</w:t>
            </w:r>
          </w:p>
          <w:p w:rsidR="00F71634" w:rsidRPr="006906E4" w:rsidRDefault="00302100" w:rsidP="00302100">
            <w:pPr>
              <w:tabs>
                <w:tab w:val="left" w:pos="709"/>
              </w:tabs>
              <w:spacing w:before="60" w:after="60" w:line="240" w:lineRule="auto"/>
              <w:jc w:val="left"/>
              <w:rPr>
                <w:rFonts w:ascii="Arial" w:hAnsi="Arial" w:cs="Arial"/>
                <w:i/>
                <w:color w:val="FF0000"/>
                <w:sz w:val="16"/>
                <w:szCs w:val="16"/>
              </w:rPr>
            </w:pPr>
            <w:r w:rsidRPr="004856BC">
              <w:rPr>
                <w:rFonts w:ascii="Arial" w:hAnsi="Arial" w:cs="Arial"/>
                <w:sz w:val="16"/>
                <w:szCs w:val="16"/>
              </w:rPr>
              <w:t>The PBO’s work is undertaken with independence, transparency and integrity.</w:t>
            </w:r>
          </w:p>
        </w:tc>
        <w:tc>
          <w:tcPr>
            <w:tcW w:w="2565" w:type="dxa"/>
            <w:tcBorders>
              <w:top w:val="single" w:sz="4" w:space="0" w:color="auto"/>
              <w:left w:val="single" w:sz="4" w:space="0" w:color="auto"/>
              <w:bottom w:val="dotted" w:sz="4" w:space="0" w:color="auto"/>
            </w:tcBorders>
          </w:tcPr>
          <w:p w:rsidR="00F71634" w:rsidRDefault="00640161">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In 2019-20, the PBO substantially achieved its purpose, with the following highlights:</w:t>
            </w:r>
          </w:p>
          <w:p w:rsidR="00640161" w:rsidRDefault="00640161" w:rsidP="001135C3">
            <w:pPr>
              <w:pStyle w:val="ListParagraph"/>
              <w:numPr>
                <w:ilvl w:val="0"/>
                <w:numId w:val="14"/>
              </w:numPr>
              <w:spacing w:before="60" w:after="60" w:line="240" w:lineRule="auto"/>
              <w:ind w:left="386"/>
              <w:rPr>
                <w:rFonts w:ascii="Arial" w:hAnsi="Arial" w:cs="Arial"/>
                <w:color w:val="000000" w:themeColor="text1"/>
                <w:sz w:val="16"/>
                <w:szCs w:val="16"/>
              </w:rPr>
            </w:pPr>
            <w:r>
              <w:rPr>
                <w:rFonts w:ascii="Arial" w:hAnsi="Arial" w:cs="Arial"/>
                <w:color w:val="000000" w:themeColor="text1"/>
                <w:sz w:val="16"/>
                <w:szCs w:val="16"/>
              </w:rPr>
              <w:t>the PBO maintained a high-quality program of published research,</w:t>
            </w:r>
          </w:p>
          <w:p w:rsidR="00640161" w:rsidRDefault="00640161" w:rsidP="001135C3">
            <w:pPr>
              <w:pStyle w:val="ListParagraph"/>
              <w:numPr>
                <w:ilvl w:val="0"/>
                <w:numId w:val="14"/>
              </w:numPr>
              <w:spacing w:before="60" w:after="60" w:line="240" w:lineRule="auto"/>
              <w:ind w:left="386"/>
              <w:rPr>
                <w:rFonts w:ascii="Arial" w:hAnsi="Arial" w:cs="Arial"/>
                <w:color w:val="000000" w:themeColor="text1"/>
                <w:sz w:val="16"/>
                <w:szCs w:val="16"/>
              </w:rPr>
            </w:pPr>
            <w:r>
              <w:rPr>
                <w:rFonts w:ascii="Arial" w:hAnsi="Arial" w:cs="Arial"/>
                <w:color w:val="000000" w:themeColor="text1"/>
                <w:sz w:val="16"/>
                <w:szCs w:val="16"/>
              </w:rPr>
              <w:t xml:space="preserve">the PBO continued to provide high-quality and confidential costings and budget analysis services, however demand was reduced compared with previous years, </w:t>
            </w:r>
            <w:r w:rsidR="00F02AA9">
              <w:rPr>
                <w:rFonts w:ascii="Arial" w:hAnsi="Arial" w:cs="Arial"/>
                <w:color w:val="000000" w:themeColor="text1"/>
                <w:sz w:val="16"/>
                <w:szCs w:val="16"/>
              </w:rPr>
              <w:t>and</w:t>
            </w:r>
          </w:p>
          <w:p w:rsidR="00F02AA9" w:rsidRPr="00F02AA9" w:rsidRDefault="00640161" w:rsidP="001135C3">
            <w:pPr>
              <w:pStyle w:val="ListParagraph"/>
              <w:numPr>
                <w:ilvl w:val="0"/>
                <w:numId w:val="14"/>
              </w:numPr>
              <w:spacing w:before="60" w:after="60" w:line="240" w:lineRule="auto"/>
              <w:ind w:left="386"/>
              <w:rPr>
                <w:rFonts w:ascii="Arial" w:hAnsi="Arial" w:cs="Arial"/>
                <w:color w:val="000000" w:themeColor="text1"/>
                <w:sz w:val="16"/>
                <w:szCs w:val="16"/>
              </w:rPr>
            </w:pPr>
            <w:r>
              <w:rPr>
                <w:rFonts w:ascii="Arial" w:hAnsi="Arial" w:cs="Arial"/>
                <w:color w:val="000000" w:themeColor="text1"/>
                <w:sz w:val="16"/>
                <w:szCs w:val="16"/>
              </w:rPr>
              <w:t>feedback from stakeholders was positive and indicated that the PBO is perceived as independent</w:t>
            </w:r>
            <w:r w:rsidR="00F02AA9">
              <w:rPr>
                <w:rFonts w:ascii="Arial" w:hAnsi="Arial" w:cs="Arial"/>
                <w:color w:val="000000" w:themeColor="text1"/>
                <w:sz w:val="16"/>
                <w:szCs w:val="16"/>
              </w:rPr>
              <w:t>.</w:t>
            </w:r>
          </w:p>
        </w:tc>
      </w:tr>
      <w:tr w:rsidR="006906E4" w:rsidRPr="00F71634" w:rsidTr="00C91347">
        <w:tc>
          <w:tcPr>
            <w:tcW w:w="1701" w:type="dxa"/>
            <w:tcBorders>
              <w:top w:val="dotted" w:sz="4" w:space="0" w:color="auto"/>
              <w:bottom w:val="dotted" w:sz="4" w:space="0" w:color="auto"/>
              <w:right w:val="single" w:sz="4" w:space="0" w:color="auto"/>
            </w:tcBorders>
          </w:tcPr>
          <w:p w:rsidR="00F71634" w:rsidRPr="006906E4" w:rsidRDefault="00D52088" w:rsidP="00BD2CB2">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75" w:type="dxa"/>
            <w:tcBorders>
              <w:top w:val="dotted" w:sz="4" w:space="0" w:color="auto"/>
              <w:left w:val="single" w:sz="4" w:space="0" w:color="auto"/>
              <w:bottom w:val="dotted" w:sz="4" w:space="0" w:color="auto"/>
              <w:right w:val="single" w:sz="4" w:space="0" w:color="auto"/>
            </w:tcBorders>
          </w:tcPr>
          <w:p w:rsidR="00302100" w:rsidRPr="005923BB" w:rsidRDefault="00302100" w:rsidP="00302100">
            <w:pPr>
              <w:tabs>
                <w:tab w:val="left" w:pos="709"/>
              </w:tabs>
              <w:spacing w:before="60" w:after="60" w:line="240" w:lineRule="auto"/>
              <w:rPr>
                <w:rFonts w:ascii="Arial" w:hAnsi="Arial" w:cs="Arial"/>
                <w:sz w:val="16"/>
                <w:szCs w:val="16"/>
              </w:rPr>
            </w:pPr>
            <w:r w:rsidRPr="005923BB">
              <w:rPr>
                <w:rFonts w:ascii="Arial" w:hAnsi="Arial" w:cs="Arial"/>
                <w:sz w:val="16"/>
                <w:szCs w:val="16"/>
              </w:rPr>
              <w:t>The PBO’s outputs are relevant, high quality and timely.</w:t>
            </w:r>
          </w:p>
          <w:p w:rsidR="00F71634" w:rsidRPr="006906E4" w:rsidRDefault="00302100" w:rsidP="00302100">
            <w:pPr>
              <w:tabs>
                <w:tab w:val="left" w:pos="709"/>
              </w:tabs>
              <w:spacing w:before="60" w:after="60" w:line="240" w:lineRule="auto"/>
              <w:jc w:val="left"/>
              <w:rPr>
                <w:rFonts w:ascii="Arial" w:hAnsi="Arial" w:cs="Arial"/>
                <w:i/>
                <w:color w:val="FF0000"/>
                <w:sz w:val="16"/>
                <w:szCs w:val="16"/>
              </w:rPr>
            </w:pPr>
            <w:r w:rsidRPr="005923BB">
              <w:rPr>
                <w:rFonts w:ascii="Arial" w:hAnsi="Arial" w:cs="Arial"/>
                <w:sz w:val="16"/>
                <w:szCs w:val="16"/>
              </w:rPr>
              <w:t>The PBO’s work is undertaken with independence, transparency and integrity.</w:t>
            </w:r>
          </w:p>
        </w:tc>
        <w:tc>
          <w:tcPr>
            <w:tcW w:w="2565" w:type="dxa"/>
            <w:tcBorders>
              <w:top w:val="dotted" w:sz="4" w:space="0" w:color="auto"/>
              <w:left w:val="single" w:sz="4" w:space="0" w:color="auto"/>
              <w:bottom w:val="dotted" w:sz="4" w:space="0" w:color="auto"/>
            </w:tcBorders>
          </w:tcPr>
          <w:p w:rsidR="00302100" w:rsidRPr="00640161" w:rsidRDefault="00640161" w:rsidP="00640161">
            <w:pPr>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A range of indicators will inform the PBO’s performance assessment, including: the extent of the demand, and efficiency in the provision of PBO’s services; the PBO’s contribution to the public policy debate, the quality and impact of PBO outputs; and feedback from stakeholders.</w:t>
            </w:r>
          </w:p>
        </w:tc>
      </w:tr>
      <w:tr w:rsidR="006906E4" w:rsidRPr="00F71634" w:rsidTr="00F02AA9">
        <w:tc>
          <w:tcPr>
            <w:tcW w:w="1701" w:type="dxa"/>
            <w:tcBorders>
              <w:top w:val="dotted" w:sz="4" w:space="0" w:color="auto"/>
              <w:bottom w:val="single" w:sz="4" w:space="0" w:color="auto"/>
              <w:right w:val="single" w:sz="4" w:space="0" w:color="auto"/>
            </w:tcBorders>
          </w:tcPr>
          <w:p w:rsidR="00F71634" w:rsidRPr="006906E4" w:rsidRDefault="00D52088" w:rsidP="00104F95">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00F71634" w:rsidRPr="006906E4">
              <w:rPr>
                <w:rFonts w:ascii="Arial" w:hAnsi="Arial" w:cs="Arial"/>
                <w:sz w:val="16"/>
                <w:szCs w:val="16"/>
              </w:rPr>
              <w:t xml:space="preserve"> and beyond</w:t>
            </w:r>
          </w:p>
        </w:tc>
        <w:tc>
          <w:tcPr>
            <w:tcW w:w="3475" w:type="dxa"/>
            <w:tcBorders>
              <w:top w:val="dotted" w:sz="4" w:space="0" w:color="auto"/>
              <w:left w:val="single" w:sz="4" w:space="0" w:color="auto"/>
              <w:bottom w:val="single" w:sz="4" w:space="0" w:color="auto"/>
              <w:right w:val="single" w:sz="4" w:space="0" w:color="auto"/>
            </w:tcBorders>
          </w:tcPr>
          <w:p w:rsidR="00F71634" w:rsidRPr="006906E4" w:rsidRDefault="00302100">
            <w:pPr>
              <w:tabs>
                <w:tab w:val="left" w:pos="709"/>
              </w:tabs>
              <w:spacing w:before="60" w:after="60" w:line="240" w:lineRule="auto"/>
              <w:jc w:val="left"/>
              <w:rPr>
                <w:rFonts w:ascii="Arial" w:hAnsi="Arial" w:cs="Arial"/>
                <w:i/>
                <w:color w:val="FF0000"/>
                <w:sz w:val="16"/>
                <w:szCs w:val="16"/>
              </w:rPr>
            </w:pPr>
            <w:r w:rsidRPr="005923BB">
              <w:rPr>
                <w:rFonts w:ascii="Arial" w:hAnsi="Arial" w:cs="Arial"/>
                <w:sz w:val="16"/>
                <w:szCs w:val="16"/>
              </w:rPr>
              <w:t>As per 20</w:t>
            </w:r>
            <w:r>
              <w:rPr>
                <w:rFonts w:ascii="Arial" w:hAnsi="Arial" w:cs="Arial"/>
                <w:sz w:val="16"/>
                <w:szCs w:val="16"/>
              </w:rPr>
              <w:t>20</w:t>
            </w:r>
            <w:r w:rsidRPr="005923BB">
              <w:rPr>
                <w:rFonts w:ascii="Arial" w:hAnsi="Arial" w:cs="Arial"/>
                <w:sz w:val="16"/>
                <w:szCs w:val="16"/>
              </w:rPr>
              <w:t>–2</w:t>
            </w:r>
            <w:r>
              <w:rPr>
                <w:rFonts w:ascii="Arial" w:hAnsi="Arial" w:cs="Arial"/>
                <w:sz w:val="16"/>
                <w:szCs w:val="16"/>
              </w:rPr>
              <w:t>1</w:t>
            </w:r>
            <w:r w:rsidRPr="005923BB">
              <w:rPr>
                <w:rFonts w:ascii="Arial" w:hAnsi="Arial" w:cs="Arial"/>
                <w:sz w:val="16"/>
                <w:szCs w:val="16"/>
              </w:rPr>
              <w:t>.</w:t>
            </w:r>
          </w:p>
        </w:tc>
        <w:tc>
          <w:tcPr>
            <w:tcW w:w="2565" w:type="dxa"/>
            <w:tcBorders>
              <w:top w:val="dotted" w:sz="4" w:space="0" w:color="auto"/>
              <w:left w:val="single" w:sz="4" w:space="0" w:color="auto"/>
              <w:bottom w:val="single" w:sz="4" w:space="0" w:color="auto"/>
            </w:tcBorders>
          </w:tcPr>
          <w:p w:rsidR="00F71634" w:rsidRPr="006906E4" w:rsidRDefault="00302100">
            <w:pPr>
              <w:tabs>
                <w:tab w:val="left" w:pos="709"/>
              </w:tabs>
              <w:spacing w:before="60" w:after="60" w:line="240" w:lineRule="auto"/>
              <w:jc w:val="left"/>
              <w:rPr>
                <w:rFonts w:ascii="Arial" w:hAnsi="Arial" w:cs="Arial"/>
                <w:i/>
                <w:color w:val="FF0000"/>
                <w:sz w:val="16"/>
                <w:szCs w:val="16"/>
              </w:rPr>
            </w:pPr>
            <w:r w:rsidRPr="005923BB">
              <w:rPr>
                <w:rFonts w:ascii="Arial" w:hAnsi="Arial" w:cs="Arial"/>
                <w:sz w:val="16"/>
                <w:szCs w:val="16"/>
              </w:rPr>
              <w:t>As per 20</w:t>
            </w:r>
            <w:r>
              <w:rPr>
                <w:rFonts w:ascii="Arial" w:hAnsi="Arial" w:cs="Arial"/>
                <w:sz w:val="16"/>
                <w:szCs w:val="16"/>
              </w:rPr>
              <w:t>20</w:t>
            </w:r>
            <w:r w:rsidRPr="005923BB">
              <w:rPr>
                <w:rFonts w:ascii="Arial" w:hAnsi="Arial" w:cs="Arial"/>
                <w:sz w:val="16"/>
                <w:szCs w:val="16"/>
              </w:rPr>
              <w:t>–2</w:t>
            </w:r>
            <w:r>
              <w:rPr>
                <w:rFonts w:ascii="Arial" w:hAnsi="Arial" w:cs="Arial"/>
                <w:sz w:val="16"/>
                <w:szCs w:val="16"/>
              </w:rPr>
              <w:t>1</w:t>
            </w:r>
            <w:r w:rsidRPr="005923BB">
              <w:rPr>
                <w:rFonts w:ascii="Arial" w:hAnsi="Arial" w:cs="Arial"/>
                <w:sz w:val="16"/>
                <w:szCs w:val="16"/>
              </w:rPr>
              <w:t>.</w:t>
            </w:r>
          </w:p>
        </w:tc>
      </w:tr>
      <w:tr w:rsidR="00F02AA9" w:rsidRPr="00F71634" w:rsidTr="00F02AA9">
        <w:tc>
          <w:tcPr>
            <w:tcW w:w="1701" w:type="dxa"/>
            <w:tcBorders>
              <w:left w:val="nil"/>
              <w:bottom w:val="nil"/>
              <w:right w:val="nil"/>
            </w:tcBorders>
          </w:tcPr>
          <w:p w:rsidR="00F02AA9" w:rsidRDefault="00F02AA9" w:rsidP="006906E4">
            <w:pPr>
              <w:tabs>
                <w:tab w:val="left" w:pos="709"/>
              </w:tabs>
              <w:spacing w:before="60" w:after="60" w:line="240" w:lineRule="auto"/>
              <w:jc w:val="left"/>
              <w:rPr>
                <w:rFonts w:ascii="Arial" w:hAnsi="Arial" w:cs="Arial"/>
                <w:b/>
                <w:sz w:val="16"/>
                <w:szCs w:val="16"/>
              </w:rPr>
            </w:pPr>
          </w:p>
          <w:p w:rsidR="00F02AA9" w:rsidRPr="006906E4" w:rsidRDefault="00F02AA9" w:rsidP="006906E4">
            <w:pPr>
              <w:tabs>
                <w:tab w:val="left" w:pos="709"/>
              </w:tabs>
              <w:spacing w:before="60" w:after="60" w:line="240" w:lineRule="auto"/>
              <w:jc w:val="left"/>
              <w:rPr>
                <w:rFonts w:ascii="Arial" w:hAnsi="Arial" w:cs="Arial"/>
                <w:b/>
                <w:sz w:val="16"/>
                <w:szCs w:val="16"/>
              </w:rPr>
            </w:pPr>
          </w:p>
        </w:tc>
        <w:tc>
          <w:tcPr>
            <w:tcW w:w="6040" w:type="dxa"/>
            <w:gridSpan w:val="2"/>
            <w:tcBorders>
              <w:left w:val="nil"/>
              <w:bottom w:val="nil"/>
              <w:right w:val="nil"/>
            </w:tcBorders>
          </w:tcPr>
          <w:p w:rsidR="00F02AA9" w:rsidRPr="004856BC" w:rsidRDefault="00F02AA9" w:rsidP="00302100">
            <w:pPr>
              <w:tabs>
                <w:tab w:val="left" w:pos="709"/>
              </w:tabs>
              <w:spacing w:before="60" w:after="60" w:line="240" w:lineRule="auto"/>
              <w:jc w:val="left"/>
              <w:rPr>
                <w:rFonts w:ascii="Arial" w:hAnsi="Arial" w:cs="Arial"/>
                <w:sz w:val="16"/>
                <w:szCs w:val="16"/>
              </w:rPr>
            </w:pPr>
          </w:p>
        </w:tc>
      </w:tr>
      <w:tr w:rsidR="00F71634" w:rsidRPr="00F71634" w:rsidTr="00F02AA9">
        <w:tc>
          <w:tcPr>
            <w:tcW w:w="1701" w:type="dxa"/>
            <w:tcBorders>
              <w:top w:val="nil"/>
            </w:tcBorders>
          </w:tcPr>
          <w:p w:rsidR="00F71634" w:rsidRPr="006906E4" w:rsidRDefault="00F71634" w:rsidP="006906E4">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lastRenderedPageBreak/>
              <w:t>Purposes</w:t>
            </w:r>
            <w:r w:rsidR="008D5F06" w:rsidRPr="006906E4">
              <w:rPr>
                <w:rFonts w:ascii="Arial" w:hAnsi="Arial" w:cs="Arial"/>
                <w:b/>
                <w:sz w:val="16"/>
                <w:szCs w:val="16"/>
              </w:rPr>
              <w:t xml:space="preserve"> </w:t>
            </w:r>
            <w:r w:rsidR="008D5F06" w:rsidRPr="006906E4">
              <w:rPr>
                <w:rFonts w:ascii="Arial" w:hAnsi="Arial" w:cs="Arial"/>
                <w:sz w:val="16"/>
                <w:szCs w:val="16"/>
              </w:rPr>
              <w:t>(b)</w:t>
            </w:r>
          </w:p>
        </w:tc>
        <w:tc>
          <w:tcPr>
            <w:tcW w:w="6040" w:type="dxa"/>
            <w:gridSpan w:val="2"/>
            <w:tcBorders>
              <w:top w:val="nil"/>
            </w:tcBorders>
          </w:tcPr>
          <w:p w:rsidR="00302100" w:rsidRPr="004856BC" w:rsidRDefault="00302100" w:rsidP="00302100">
            <w:pPr>
              <w:tabs>
                <w:tab w:val="left" w:pos="709"/>
              </w:tabs>
              <w:spacing w:before="60" w:after="60" w:line="240" w:lineRule="auto"/>
              <w:jc w:val="left"/>
              <w:rPr>
                <w:rFonts w:ascii="Arial" w:hAnsi="Arial" w:cs="Arial"/>
                <w:sz w:val="16"/>
                <w:szCs w:val="16"/>
              </w:rPr>
            </w:pPr>
            <w:r w:rsidRPr="004856BC">
              <w:rPr>
                <w:rFonts w:ascii="Arial" w:hAnsi="Arial" w:cs="Arial"/>
                <w:sz w:val="16"/>
                <w:szCs w:val="16"/>
              </w:rPr>
              <w:t>The purpose of the PBO is to:</w:t>
            </w:r>
          </w:p>
          <w:p w:rsidR="00302100" w:rsidRPr="004856BC" w:rsidRDefault="007C32F0" w:rsidP="001135C3">
            <w:pPr>
              <w:pStyle w:val="ListParagraph"/>
              <w:numPr>
                <w:ilvl w:val="0"/>
                <w:numId w:val="13"/>
              </w:numPr>
              <w:tabs>
                <w:tab w:val="left" w:pos="459"/>
              </w:tabs>
              <w:spacing w:before="60" w:after="60" w:line="240" w:lineRule="auto"/>
              <w:ind w:left="459" w:hanging="425"/>
              <w:rPr>
                <w:rFonts w:ascii="Arial" w:hAnsi="Arial" w:cs="Arial"/>
                <w:sz w:val="16"/>
                <w:szCs w:val="16"/>
              </w:rPr>
            </w:pPr>
            <w:r w:rsidRPr="004856BC">
              <w:rPr>
                <w:rFonts w:ascii="Arial" w:hAnsi="Arial" w:cs="Arial"/>
                <w:sz w:val="16"/>
                <w:szCs w:val="16"/>
              </w:rPr>
              <w:t>provid</w:t>
            </w:r>
            <w:r>
              <w:rPr>
                <w:rFonts w:ascii="Arial" w:hAnsi="Arial" w:cs="Arial"/>
                <w:sz w:val="16"/>
                <w:szCs w:val="16"/>
              </w:rPr>
              <w:t>e</w:t>
            </w:r>
            <w:r w:rsidRPr="004856BC">
              <w:rPr>
                <w:rFonts w:ascii="Arial" w:hAnsi="Arial" w:cs="Arial"/>
                <w:sz w:val="16"/>
                <w:szCs w:val="16"/>
              </w:rPr>
              <w:t xml:space="preserve"> </w:t>
            </w:r>
            <w:r w:rsidR="00302100" w:rsidRPr="004856BC">
              <w:rPr>
                <w:rFonts w:ascii="Arial" w:hAnsi="Arial" w:cs="Arial"/>
                <w:sz w:val="16"/>
                <w:szCs w:val="16"/>
              </w:rPr>
              <w:t>policy costing and budget analysis services to all parliamentarians</w:t>
            </w:r>
            <w:r w:rsidR="00640161">
              <w:rPr>
                <w:rFonts w:ascii="Arial" w:hAnsi="Arial" w:cs="Arial"/>
                <w:sz w:val="16"/>
                <w:szCs w:val="16"/>
              </w:rPr>
              <w:t xml:space="preserve"> to enable fiscal impacts to be considered during policy development</w:t>
            </w:r>
          </w:p>
          <w:p w:rsidR="00302100" w:rsidRPr="00302100" w:rsidRDefault="00302100" w:rsidP="001135C3">
            <w:pPr>
              <w:pStyle w:val="ListParagraph"/>
              <w:numPr>
                <w:ilvl w:val="0"/>
                <w:numId w:val="13"/>
              </w:numPr>
              <w:tabs>
                <w:tab w:val="left" w:pos="459"/>
              </w:tabs>
              <w:spacing w:before="60" w:after="60" w:line="240" w:lineRule="auto"/>
              <w:ind w:left="459" w:hanging="425"/>
              <w:rPr>
                <w:rFonts w:ascii="Arial" w:hAnsi="Arial" w:cs="Arial"/>
                <w:i/>
                <w:color w:val="FF0000"/>
                <w:sz w:val="16"/>
                <w:szCs w:val="16"/>
              </w:rPr>
            </w:pPr>
            <w:r w:rsidRPr="004856BC">
              <w:rPr>
                <w:rFonts w:ascii="Arial" w:hAnsi="Arial" w:cs="Arial"/>
                <w:sz w:val="16"/>
                <w:szCs w:val="16"/>
              </w:rPr>
              <w:t>conduct and publish research</w:t>
            </w:r>
            <w:r w:rsidR="00640161">
              <w:rPr>
                <w:rFonts w:ascii="Arial" w:hAnsi="Arial" w:cs="Arial"/>
                <w:sz w:val="16"/>
                <w:szCs w:val="16"/>
              </w:rPr>
              <w:t xml:space="preserve"> to</w:t>
            </w:r>
            <w:r w:rsidRPr="004856BC">
              <w:rPr>
                <w:rFonts w:ascii="Arial" w:hAnsi="Arial" w:cs="Arial"/>
                <w:sz w:val="16"/>
                <w:szCs w:val="16"/>
              </w:rPr>
              <w:t xml:space="preserve"> </w:t>
            </w:r>
            <w:r w:rsidR="00640161" w:rsidRPr="004856BC">
              <w:rPr>
                <w:rFonts w:ascii="Arial" w:hAnsi="Arial" w:cs="Arial"/>
                <w:sz w:val="16"/>
                <w:szCs w:val="16"/>
              </w:rPr>
              <w:t>improve public understanding of bu</w:t>
            </w:r>
            <w:r w:rsidR="00640161">
              <w:rPr>
                <w:rFonts w:ascii="Arial" w:hAnsi="Arial" w:cs="Arial"/>
                <w:sz w:val="16"/>
                <w:szCs w:val="16"/>
              </w:rPr>
              <w:t>dget and fiscal policy issues</w:t>
            </w:r>
          </w:p>
          <w:p w:rsidR="00F71634" w:rsidRPr="006906E4" w:rsidRDefault="00640161" w:rsidP="007F630A">
            <w:pPr>
              <w:pStyle w:val="ListParagraph"/>
              <w:numPr>
                <w:ilvl w:val="0"/>
                <w:numId w:val="13"/>
              </w:numPr>
              <w:tabs>
                <w:tab w:val="left" w:pos="459"/>
              </w:tabs>
              <w:spacing w:before="60" w:after="60" w:line="240" w:lineRule="auto"/>
              <w:ind w:left="459" w:hanging="425"/>
              <w:rPr>
                <w:rFonts w:ascii="Arial" w:hAnsi="Arial" w:cs="Arial"/>
                <w:i/>
                <w:color w:val="FF0000"/>
                <w:sz w:val="16"/>
                <w:szCs w:val="16"/>
              </w:rPr>
            </w:pPr>
            <w:proofErr w:type="gramStart"/>
            <w:r>
              <w:rPr>
                <w:rFonts w:ascii="Arial" w:hAnsi="Arial" w:cs="Arial"/>
                <w:sz w:val="16"/>
                <w:szCs w:val="16"/>
              </w:rPr>
              <w:t>publish</w:t>
            </w:r>
            <w:proofErr w:type="gramEnd"/>
            <w:r w:rsidR="00302100" w:rsidRPr="004856BC">
              <w:rPr>
                <w:rFonts w:ascii="Arial" w:hAnsi="Arial" w:cs="Arial"/>
                <w:sz w:val="16"/>
                <w:szCs w:val="16"/>
              </w:rPr>
              <w:t xml:space="preserve"> a</w:t>
            </w:r>
            <w:r>
              <w:rPr>
                <w:rFonts w:ascii="Arial" w:hAnsi="Arial" w:cs="Arial"/>
                <w:sz w:val="16"/>
                <w:szCs w:val="16"/>
              </w:rPr>
              <w:t xml:space="preserve"> </w:t>
            </w:r>
            <w:r w:rsidR="00302100" w:rsidRPr="004856BC">
              <w:rPr>
                <w:rFonts w:ascii="Arial" w:hAnsi="Arial" w:cs="Arial"/>
                <w:sz w:val="16"/>
                <w:szCs w:val="16"/>
              </w:rPr>
              <w:t>report on the budget impacts of the election commi</w:t>
            </w:r>
            <w:r>
              <w:rPr>
                <w:rFonts w:ascii="Arial" w:hAnsi="Arial" w:cs="Arial"/>
                <w:sz w:val="16"/>
                <w:szCs w:val="16"/>
              </w:rPr>
              <w:t>tments of parliamentary parties after each general election to enhance transparency around election commitments.</w:t>
            </w:r>
          </w:p>
        </w:tc>
      </w:tr>
      <w:bookmarkEnd w:id="36"/>
      <w:bookmarkEnd w:id="37"/>
    </w:tbl>
    <w:p w:rsidR="002F530C" w:rsidRPr="00AD42E2" w:rsidRDefault="002F530C" w:rsidP="00AD42E2">
      <w:pPr>
        <w:pStyle w:val="Heading2"/>
      </w:pPr>
      <w:r w:rsidRPr="00C3303C">
        <w:rPr>
          <w:rFonts w:ascii="Book Antiqua" w:hAnsi="Book Antiqua"/>
          <w:i/>
          <w:color w:val="FF0000"/>
          <w:sz w:val="20"/>
        </w:rPr>
        <w:br w:type="page"/>
      </w:r>
      <w:bookmarkStart w:id="38" w:name="_Toc444523516"/>
      <w:bookmarkStart w:id="39" w:name="_Toc51850942"/>
      <w:r w:rsidRPr="00AD42E2">
        <w:lastRenderedPageBreak/>
        <w:t>Section 3: Budgeted financial statements</w:t>
      </w:r>
      <w:bookmarkEnd w:id="38"/>
      <w:bookmarkEnd w:id="39"/>
    </w:p>
    <w:p w:rsidR="00A6388E" w:rsidRDefault="00CF5085" w:rsidP="007118AC">
      <w:r>
        <w:t>Section 3</w:t>
      </w:r>
      <w:r w:rsidR="0027614D">
        <w:t xml:space="preserve"> presents budgeted financial statements which provide a comprehensive snapshot of</w:t>
      </w:r>
      <w:r w:rsidR="001B03CC">
        <w:t xml:space="preserve"> entity </w:t>
      </w:r>
      <w:r w:rsidR="0027614D">
        <w:t xml:space="preserve">finances for the </w:t>
      </w:r>
      <w:r w:rsidR="00D52088">
        <w:t>2020-21</w:t>
      </w:r>
      <w:r w:rsidR="00294E5F">
        <w:rPr>
          <w:color w:val="00B050"/>
        </w:rPr>
        <w:t xml:space="preserve"> </w:t>
      </w:r>
      <w:r w:rsidR="0027614D">
        <w:t xml:space="preserve">budget </w:t>
      </w:r>
      <w:proofErr w:type="gramStart"/>
      <w:r w:rsidR="0027614D">
        <w:t>year</w:t>
      </w:r>
      <w:proofErr w:type="gramEnd"/>
      <w:r w:rsidR="007118AC">
        <w:t>, including the impact of budget measures and resourcing on financial statements</w:t>
      </w:r>
      <w:r w:rsidR="00B04964">
        <w:t>.</w:t>
      </w:r>
    </w:p>
    <w:p w:rsidR="00E4582E" w:rsidRDefault="007118AC" w:rsidP="00EA5A9E">
      <w:pPr>
        <w:pStyle w:val="Heading3"/>
      </w:pPr>
      <w:bookmarkStart w:id="40" w:name="_Toc190682317"/>
      <w:bookmarkStart w:id="41" w:name="_Toc444523517"/>
      <w:bookmarkStart w:id="42" w:name="_Toc51850943"/>
      <w:r>
        <w:t>3.1</w:t>
      </w:r>
      <w:r w:rsidR="00E4582E">
        <w:tab/>
        <w:t>Budgeted financial statements</w:t>
      </w:r>
      <w:bookmarkEnd w:id="40"/>
      <w:bookmarkEnd w:id="41"/>
      <w:bookmarkEnd w:id="42"/>
    </w:p>
    <w:p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rsidR="00302100" w:rsidRPr="000F04F3" w:rsidRDefault="00302100" w:rsidP="00302100">
      <w:pPr>
        <w:pStyle w:val="ExampleText0"/>
        <w:rPr>
          <w:color w:val="auto"/>
        </w:rPr>
      </w:pPr>
      <w:r w:rsidRPr="001861A5">
        <w:rPr>
          <w:i w:val="0"/>
          <w:color w:val="000000" w:themeColor="text1"/>
        </w:rPr>
        <w:t>The PBO does not have any material differences between entity resourcing and financial statements</w:t>
      </w:r>
      <w:r w:rsidRPr="000F04F3">
        <w:rPr>
          <w:i w:val="0"/>
          <w:color w:val="auto"/>
        </w:rPr>
        <w:t>.</w:t>
      </w:r>
    </w:p>
    <w:p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rsidR="00A2491F" w:rsidRDefault="00A2491F" w:rsidP="00302100">
      <w:pPr>
        <w:spacing w:after="0" w:line="240" w:lineRule="auto"/>
        <w:jc w:val="left"/>
        <w:rPr>
          <w:b/>
        </w:rPr>
      </w:pPr>
    </w:p>
    <w:p w:rsidR="00A2491F" w:rsidRDefault="00A2491F" w:rsidP="00302100">
      <w:pPr>
        <w:spacing w:after="0" w:line="240" w:lineRule="auto"/>
        <w:jc w:val="left"/>
        <w:rPr>
          <w:b/>
        </w:rPr>
      </w:pPr>
      <w:r w:rsidRPr="00A2491F">
        <w:rPr>
          <w:b/>
        </w:rPr>
        <w:t>Budgeted comprehensive income statement</w:t>
      </w:r>
    </w:p>
    <w:p w:rsidR="0055296E" w:rsidRPr="00A2491F" w:rsidRDefault="0055296E" w:rsidP="00A2491F">
      <w:pPr>
        <w:spacing w:before="240" w:after="0" w:line="240" w:lineRule="auto"/>
        <w:jc w:val="left"/>
        <w:rPr>
          <w:b/>
        </w:rPr>
      </w:pPr>
      <w:r>
        <w:t xml:space="preserve">Under the net cash appropriation framework, the PBO receives an appropriation to meet budgeted expenses (except depreciation).  This appropriation is recognised as revenue.  </w:t>
      </w:r>
    </w:p>
    <w:p w:rsidR="0055296E" w:rsidRDefault="0055296E" w:rsidP="00302100">
      <w:pPr>
        <w:spacing w:after="0" w:line="240" w:lineRule="auto"/>
        <w:jc w:val="left"/>
      </w:pPr>
    </w:p>
    <w:p w:rsidR="0055296E" w:rsidRDefault="0055296E" w:rsidP="00302100">
      <w:pPr>
        <w:spacing w:after="0" w:line="240" w:lineRule="auto"/>
        <w:jc w:val="left"/>
      </w:pPr>
      <w:r>
        <w:t xml:space="preserve">The PBO received a special appropriation at the time of its establishment.  The special appropriation is recognised as revenue in the year the funds are spent.  The associated expense is recognised in the comprehensive income statement except where the </w:t>
      </w:r>
      <w:r w:rsidR="007C32F0">
        <w:t xml:space="preserve">PBO </w:t>
      </w:r>
      <w:r>
        <w:t>has purchased assets, which are recognised in the balance sheet.</w:t>
      </w:r>
      <w:r w:rsidR="00116191">
        <w:t xml:space="preserve"> </w:t>
      </w:r>
    </w:p>
    <w:p w:rsidR="00EC2EBE" w:rsidRDefault="00EC2EBE" w:rsidP="00302100">
      <w:pPr>
        <w:spacing w:after="0" w:line="240" w:lineRule="auto"/>
        <w:jc w:val="left"/>
      </w:pPr>
    </w:p>
    <w:p w:rsidR="00EC2EBE" w:rsidRDefault="00EC2EBE" w:rsidP="00302100">
      <w:pPr>
        <w:spacing w:after="0" w:line="240" w:lineRule="auto"/>
        <w:jc w:val="left"/>
      </w:pPr>
      <w:r>
        <w:t>The increase in Revenue from Government in 2021-22 reflects a triennial increase in the PBO’s departmental appropriation</w:t>
      </w:r>
      <w:r w:rsidR="0012540A">
        <w:t>,</w:t>
      </w:r>
      <w:r>
        <w:t xml:space="preserve"> </w:t>
      </w:r>
      <w:r w:rsidR="001326A4">
        <w:t xml:space="preserve">enabling </w:t>
      </w:r>
      <w:r>
        <w:t xml:space="preserve">the PBO to </w:t>
      </w:r>
      <w:r w:rsidR="0012540A">
        <w:t xml:space="preserve">respond to </w:t>
      </w:r>
      <w:r>
        <w:t xml:space="preserve">increased demand </w:t>
      </w:r>
      <w:r w:rsidR="0012540A">
        <w:t xml:space="preserve">for </w:t>
      </w:r>
      <w:r>
        <w:t xml:space="preserve">services in </w:t>
      </w:r>
      <w:r w:rsidR="002808A2">
        <w:t xml:space="preserve">line with the </w:t>
      </w:r>
      <w:r>
        <w:t xml:space="preserve">general election </w:t>
      </w:r>
      <w:r w:rsidR="002808A2">
        <w:t>cycle</w:t>
      </w:r>
      <w:r>
        <w:t xml:space="preserve">. </w:t>
      </w:r>
    </w:p>
    <w:p w:rsidR="00EC2EBE" w:rsidRDefault="00EC2EBE" w:rsidP="00302100">
      <w:pPr>
        <w:spacing w:after="0" w:line="240" w:lineRule="auto"/>
        <w:jc w:val="left"/>
      </w:pPr>
    </w:p>
    <w:p w:rsidR="00302100" w:rsidRPr="00F05220" w:rsidRDefault="00302100" w:rsidP="00302100">
      <w:pPr>
        <w:spacing w:after="0" w:line="240" w:lineRule="auto"/>
        <w:jc w:val="left"/>
      </w:pPr>
      <w:r w:rsidRPr="00F05220">
        <w:t>The PBO is budgeting for a bre</w:t>
      </w:r>
      <w:r w:rsidR="00F05220" w:rsidRPr="00F05220">
        <w:t>ak-even operating result in 2020–21</w:t>
      </w:r>
      <w:r w:rsidRPr="00F05220">
        <w:t xml:space="preserve"> and across the forward estimates, after non-appropriated expenses such as depreciation are removed.</w:t>
      </w:r>
    </w:p>
    <w:p w:rsidR="00302100" w:rsidRDefault="00302100" w:rsidP="00302100">
      <w:pPr>
        <w:spacing w:after="0" w:line="240" w:lineRule="auto"/>
        <w:jc w:val="left"/>
        <w:rPr>
          <w:highlight w:val="yellow"/>
        </w:rPr>
      </w:pPr>
    </w:p>
    <w:p w:rsidR="00302100" w:rsidRDefault="00302100" w:rsidP="00302100">
      <w:pPr>
        <w:spacing w:after="0" w:line="240" w:lineRule="auto"/>
        <w:jc w:val="left"/>
        <w:rPr>
          <w:i/>
          <w:color w:val="000000" w:themeColor="text1"/>
        </w:rPr>
      </w:pPr>
      <w:r w:rsidRPr="00F05220">
        <w:rPr>
          <w:color w:val="000000" w:themeColor="text1"/>
        </w:rPr>
        <w:t>The PBO has sufficient cash reserves to fund provisions and payables as they fall due across the forward estimates period.</w:t>
      </w:r>
    </w:p>
    <w:p w:rsidR="00E4582E" w:rsidRDefault="000A6897" w:rsidP="007F7E83">
      <w:pPr>
        <w:jc w:val="left"/>
      </w:pPr>
      <w:r>
        <w:br w:type="page"/>
      </w:r>
      <w:bookmarkStart w:id="43" w:name="_Toc444523518"/>
      <w:r w:rsidR="00E4582E" w:rsidRPr="00D232B7">
        <w:rPr>
          <w:rStyle w:val="TableHeadingChar"/>
        </w:rPr>
        <w:lastRenderedPageBreak/>
        <w:t>3.2.</w:t>
      </w:r>
      <w:r w:rsidR="005F29CD" w:rsidRPr="00D232B7">
        <w:rPr>
          <w:rStyle w:val="TableHeadingChar"/>
        </w:rPr>
        <w:tab/>
      </w:r>
      <w:r w:rsidR="00E4582E" w:rsidRPr="00D232B7">
        <w:rPr>
          <w:rStyle w:val="TableHeadingChar"/>
        </w:rPr>
        <w:t xml:space="preserve">Budgeted </w:t>
      </w:r>
      <w:r w:rsidR="00F626C2" w:rsidRPr="00D232B7">
        <w:rPr>
          <w:rStyle w:val="TableHeadingChar"/>
        </w:rPr>
        <w:t>financial statements tables</w:t>
      </w:r>
      <w:bookmarkEnd w:id="43"/>
    </w:p>
    <w:p w:rsidR="00E4582E" w:rsidRPr="008802D4" w:rsidRDefault="00E855E0" w:rsidP="00146B5E">
      <w:pPr>
        <w:pStyle w:val="TableHeading"/>
        <w:rPr>
          <w:snapToGrid w:val="0"/>
          <w:lang w:val="en-AU"/>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r w:rsidR="008802D4">
        <w:rPr>
          <w:snapToGrid w:val="0"/>
          <w:lang w:val="en-AU"/>
        </w:rPr>
        <w:br/>
      </w:r>
    </w:p>
    <w:p w:rsidR="007742FF" w:rsidRDefault="001135C3" w:rsidP="00392DD1">
      <w:pPr>
        <w:pStyle w:val="TableGraphic"/>
      </w:pPr>
      <w:r w:rsidRPr="001135C3">
        <w:rPr>
          <w:noProof/>
        </w:rPr>
        <w:drawing>
          <wp:inline distT="0" distB="0" distL="0" distR="0">
            <wp:extent cx="4614545" cy="5837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4545" cy="5837555"/>
                    </a:xfrm>
                    <a:prstGeom prst="rect">
                      <a:avLst/>
                    </a:prstGeom>
                    <a:noFill/>
                    <a:ln>
                      <a:noFill/>
                    </a:ln>
                  </pic:spPr>
                </pic:pic>
              </a:graphicData>
            </a:graphic>
          </wp:inline>
        </w:drawing>
      </w:r>
      <w:r w:rsidR="00D52088" w:rsidRPr="00D52088">
        <w:rPr>
          <w:noProof/>
        </w:rPr>
        <w:t xml:space="preserve"> </w:t>
      </w:r>
    </w:p>
    <w:p w:rsidR="005239F3" w:rsidRPr="001135C3" w:rsidRDefault="005239F3" w:rsidP="008802D4">
      <w:pPr>
        <w:pStyle w:val="ChartandTableFootnoteAlpha"/>
        <w:numPr>
          <w:ilvl w:val="0"/>
          <w:numId w:val="0"/>
        </w:numPr>
        <w:ind w:left="284" w:hanging="284"/>
      </w:pPr>
      <w:r>
        <w:t xml:space="preserve">Prepared on Australian Accounting Standards basis. </w:t>
      </w:r>
      <w:r>
        <w:tab/>
      </w:r>
    </w:p>
    <w:p w:rsidR="001135C3" w:rsidRDefault="00995100" w:rsidP="001135C3">
      <w:pPr>
        <w:pStyle w:val="ChartandTableFootnoteAlpha"/>
        <w:numPr>
          <w:ilvl w:val="0"/>
          <w:numId w:val="16"/>
        </w:numPr>
        <w:spacing w:before="240" w:line="276" w:lineRule="auto"/>
      </w:pPr>
      <w:r>
        <w:t xml:space="preserve">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w:t>
      </w:r>
      <w:r w:rsidR="005239F3">
        <w:t xml:space="preserve"> </w:t>
      </w:r>
      <w:r>
        <w:t>For information regarding DCBs, please refer to Table 3.5 Departmental Capital Budget S</w:t>
      </w:r>
      <w:r w:rsidR="001135C3">
        <w:t>tatement.</w:t>
      </w:r>
      <w:r w:rsidR="001135C3">
        <w:tab/>
      </w:r>
    </w:p>
    <w:p w:rsidR="00E4582E" w:rsidRPr="008802D4" w:rsidRDefault="00525AB1" w:rsidP="008802D4">
      <w:pPr>
        <w:pStyle w:val="ChartandTableFootnote"/>
        <w:spacing w:before="240" w:line="276" w:lineRule="auto"/>
        <w:jc w:val="left"/>
        <w:rPr>
          <w:b/>
          <w:sz w:val="20"/>
          <w:lang w:val="en-AU"/>
        </w:rPr>
      </w:pPr>
      <w:r w:rsidRPr="001135C3">
        <w:rPr>
          <w:b/>
          <w:sz w:val="20"/>
        </w:rPr>
        <w:lastRenderedPageBreak/>
        <w:t>Table</w:t>
      </w:r>
      <w:r w:rsidR="00971CBF" w:rsidRPr="001135C3">
        <w:rPr>
          <w:b/>
          <w:sz w:val="20"/>
        </w:rPr>
        <w:t xml:space="preserve"> 3.</w:t>
      </w:r>
      <w:r w:rsidRPr="001135C3">
        <w:rPr>
          <w:b/>
          <w:sz w:val="20"/>
        </w:rPr>
        <w:t xml:space="preserve">2: Budgeted </w:t>
      </w:r>
      <w:r w:rsidR="00F626C2" w:rsidRPr="001135C3">
        <w:rPr>
          <w:b/>
          <w:sz w:val="20"/>
        </w:rPr>
        <w:t xml:space="preserve">departmental balance sheet </w:t>
      </w:r>
      <w:r w:rsidRPr="001135C3">
        <w:rPr>
          <w:b/>
          <w:sz w:val="20"/>
        </w:rPr>
        <w:t>(as at 30 June)</w:t>
      </w:r>
      <w:r w:rsidR="008802D4">
        <w:rPr>
          <w:b/>
          <w:sz w:val="20"/>
          <w:lang w:val="en-AU"/>
        </w:rPr>
        <w:br/>
      </w:r>
    </w:p>
    <w:p w:rsidR="00F626C2" w:rsidRPr="00F626C2" w:rsidRDefault="00263856" w:rsidP="00392DD1">
      <w:pPr>
        <w:pStyle w:val="TableGraphic"/>
      </w:pPr>
      <w:r w:rsidRPr="00263856">
        <w:rPr>
          <w:noProof/>
        </w:rPr>
        <w:drawing>
          <wp:inline distT="0" distB="0" distL="0" distR="0">
            <wp:extent cx="4603750" cy="5252720"/>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3750" cy="5252720"/>
                    </a:xfrm>
                    <a:prstGeom prst="rect">
                      <a:avLst/>
                    </a:prstGeom>
                    <a:noFill/>
                    <a:ln>
                      <a:noFill/>
                    </a:ln>
                  </pic:spPr>
                </pic:pic>
              </a:graphicData>
            </a:graphic>
          </wp:inline>
        </w:drawing>
      </w:r>
    </w:p>
    <w:p w:rsidR="0061675B" w:rsidRPr="00152B2B" w:rsidRDefault="00263856" w:rsidP="00D053B0">
      <w:pPr>
        <w:pStyle w:val="ChartandTableFootnoteAlpha"/>
        <w:numPr>
          <w:ilvl w:val="0"/>
          <w:numId w:val="0"/>
        </w:numPr>
        <w:spacing w:line="276" w:lineRule="auto"/>
      </w:pPr>
      <w:r>
        <w:t>Prepared on Australian Accounting Standards basis.</w:t>
      </w:r>
      <w:r>
        <w:tab/>
      </w:r>
      <w:r>
        <w:tab/>
      </w:r>
      <w:r>
        <w:tab/>
      </w:r>
      <w:r>
        <w:tab/>
      </w:r>
      <w:r>
        <w:tab/>
      </w:r>
      <w:r>
        <w:br/>
        <w:t xml:space="preserve">* Equity is the residual interest in assets after the deduction of liabilities. </w:t>
      </w:r>
      <w:r>
        <w:tab/>
      </w:r>
      <w:r>
        <w:tab/>
      </w:r>
      <w:r>
        <w:tab/>
      </w:r>
      <w:r>
        <w:tab/>
      </w:r>
      <w:r>
        <w:tab/>
      </w:r>
      <w:r w:rsidR="00132F9E">
        <w:br w:type="page"/>
      </w:r>
    </w:p>
    <w:p w:rsidR="00635352" w:rsidRPr="00635352" w:rsidRDefault="00A80C87">
      <w:pPr>
        <w:pStyle w:val="TableHeading"/>
        <w:rPr>
          <w:lang w:val="en-AU"/>
        </w:rPr>
      </w:pPr>
      <w:r w:rsidRPr="00AD42E2">
        <w:lastRenderedPageBreak/>
        <w:t>Table</w:t>
      </w:r>
      <w:r w:rsidR="00971CBF" w:rsidRPr="00AD42E2">
        <w:t xml:space="preserve"> 3.</w:t>
      </w:r>
      <w:r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D52088">
        <w:rPr>
          <w:lang w:val="en-AU"/>
        </w:rPr>
        <w:t>2020-21</w:t>
      </w:r>
      <w:r w:rsidR="00345CCD" w:rsidRPr="00D30CBA">
        <w:t>)</w:t>
      </w:r>
      <w:r w:rsidR="00635352">
        <w:rPr>
          <w:lang w:val="en-AU"/>
        </w:rPr>
        <w:br/>
      </w:r>
    </w:p>
    <w:p w:rsidR="00A00283" w:rsidRDefault="00635352">
      <w:pPr>
        <w:pStyle w:val="TableHeading"/>
        <w:rPr>
          <w:lang w:val="en-AU"/>
        </w:rPr>
      </w:pPr>
      <w:r w:rsidRPr="00635352">
        <w:rPr>
          <w:noProof/>
          <w:lang w:val="en-AU" w:eastAsia="en-AU"/>
        </w:rPr>
        <w:drawing>
          <wp:inline distT="0" distB="0" distL="0" distR="0">
            <wp:extent cx="4093845" cy="27965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3845" cy="2796540"/>
                    </a:xfrm>
                    <a:prstGeom prst="rect">
                      <a:avLst/>
                    </a:prstGeom>
                    <a:noFill/>
                    <a:ln>
                      <a:noFill/>
                    </a:ln>
                  </pic:spPr>
                </pic:pic>
              </a:graphicData>
            </a:graphic>
          </wp:inline>
        </w:drawing>
      </w:r>
    </w:p>
    <w:p w:rsidR="00C038D0" w:rsidRDefault="00D606C2" w:rsidP="003A3C82">
      <w:pPr>
        <w:pStyle w:val="ChartandTableFootnoteAlpha"/>
        <w:numPr>
          <w:ilvl w:val="0"/>
          <w:numId w:val="0"/>
        </w:numPr>
        <w:spacing w:line="276" w:lineRule="auto"/>
        <w:ind w:left="284" w:hanging="284"/>
      </w:pPr>
      <w:r w:rsidRPr="00A67767">
        <w:t>Prepared on Australian Accounting Standards basis</w:t>
      </w:r>
      <w:r w:rsidR="00A67767">
        <w:t>.</w:t>
      </w:r>
    </w:p>
    <w:p w:rsidR="00A00283" w:rsidRPr="0082126A" w:rsidRDefault="00345CCD">
      <w:pPr>
        <w:pStyle w:val="TableHeading"/>
        <w:rPr>
          <w:lang w:val="en-AU"/>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 </w:t>
      </w:r>
      <w:r>
        <w:t>the period ended</w:t>
      </w:r>
      <w:r w:rsidRPr="00D30CBA">
        <w:t xml:space="preserve"> 30 June)</w:t>
      </w:r>
      <w:r w:rsidR="0082126A">
        <w:rPr>
          <w:lang w:val="en-AU"/>
        </w:rPr>
        <w:br/>
      </w:r>
    </w:p>
    <w:p w:rsidR="00F10305" w:rsidRPr="00F10305" w:rsidRDefault="0082126A" w:rsidP="00601A28">
      <w:pPr>
        <w:pStyle w:val="TableGraphic"/>
        <w:tabs>
          <w:tab w:val="left" w:pos="6237"/>
        </w:tabs>
      </w:pPr>
      <w:r w:rsidRPr="0082126A">
        <w:rPr>
          <w:noProof/>
        </w:rPr>
        <w:drawing>
          <wp:inline distT="0" distB="0" distL="0" distR="0" wp14:anchorId="486E5474" wp14:editId="4BAAC72C">
            <wp:extent cx="4614545" cy="3933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4545" cy="3933825"/>
                    </a:xfrm>
                    <a:prstGeom prst="rect">
                      <a:avLst/>
                    </a:prstGeom>
                    <a:noFill/>
                    <a:ln>
                      <a:noFill/>
                    </a:ln>
                  </pic:spPr>
                </pic:pic>
              </a:graphicData>
            </a:graphic>
          </wp:inline>
        </w:drawing>
      </w:r>
      <w:r w:rsidR="00D52088" w:rsidRPr="00D52088">
        <w:rPr>
          <w:noProof/>
        </w:rPr>
        <w:t xml:space="preserve"> </w:t>
      </w:r>
    </w:p>
    <w:p w:rsidR="0082126A" w:rsidRDefault="0082126A" w:rsidP="003A3C82">
      <w:pPr>
        <w:pStyle w:val="ChartandTableFootnoteAlpha"/>
        <w:numPr>
          <w:ilvl w:val="0"/>
          <w:numId w:val="0"/>
        </w:numPr>
        <w:spacing w:line="276" w:lineRule="auto"/>
        <w:ind w:left="284" w:hanging="284"/>
      </w:pPr>
      <w:proofErr w:type="gramStart"/>
      <w:r w:rsidRPr="00A67767">
        <w:t>Prepared on Australian Accounting Standards basis</w:t>
      </w:r>
      <w:r>
        <w:t>.</w:t>
      </w:r>
      <w:proofErr w:type="gramEnd"/>
    </w:p>
    <w:p w:rsidR="0061675B" w:rsidRPr="00132F9E" w:rsidRDefault="0061675B" w:rsidP="0082126A">
      <w:pPr>
        <w:pStyle w:val="TableHeadingcontinued"/>
        <w:rPr>
          <w:rFonts w:ascii="Arial" w:hAnsi="Arial" w:cs="Arial"/>
          <w:sz w:val="16"/>
          <w:szCs w:val="16"/>
        </w:rPr>
      </w:pPr>
    </w:p>
    <w:p w:rsidR="00BC05A3" w:rsidRDefault="00BC05A3">
      <w:pPr>
        <w:pStyle w:val="TableHeading"/>
        <w:rPr>
          <w:lang w:val="en-US"/>
        </w:rPr>
      </w:pPr>
    </w:p>
    <w:p w:rsidR="00F10305" w:rsidRPr="00994647" w:rsidRDefault="0031498B" w:rsidP="00994647">
      <w:pPr>
        <w:pStyle w:val="TableHeading"/>
        <w:rPr>
          <w:lang w:val="en-AU"/>
        </w:rPr>
      </w:pPr>
      <w:r>
        <w:rPr>
          <w:lang w:val="en-AU"/>
        </w:rPr>
        <w:br/>
      </w:r>
      <w:r w:rsidR="008B4464" w:rsidRPr="00D30CBA">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rsidR="00BC05A3" w:rsidRPr="00BC05A3" w:rsidRDefault="00BC05A3" w:rsidP="00994647">
      <w:pPr>
        <w:spacing w:before="240" w:after="0" w:line="240" w:lineRule="auto"/>
        <w:jc w:val="left"/>
      </w:pPr>
      <w:r w:rsidRPr="00994647">
        <w:t>The PBO does not have any planned capital expenditure over the forward estimates.</w:t>
      </w:r>
    </w:p>
    <w:p w:rsidR="00ED0C0A" w:rsidRDefault="00ED0C0A" w:rsidP="00E11DA9">
      <w:pPr>
        <w:spacing w:after="0" w:line="240" w:lineRule="auto"/>
        <w:jc w:val="left"/>
      </w:pPr>
    </w:p>
    <w:p w:rsidR="00ED0C0A" w:rsidRDefault="00ED0C0A" w:rsidP="0061675B">
      <w:pPr>
        <w:pStyle w:val="ExampleText0"/>
      </w:pPr>
    </w:p>
    <w:p w:rsidR="00ED0C0A" w:rsidRDefault="00ED0C0A" w:rsidP="0061675B">
      <w:pPr>
        <w:pStyle w:val="ExampleText0"/>
        <w:sectPr w:rsidR="00ED0C0A" w:rsidSect="00901F73">
          <w:headerReference w:type="even" r:id="rId64"/>
          <w:headerReference w:type="default" r:id="rId65"/>
          <w:footerReference w:type="default" r:id="rId66"/>
          <w:headerReference w:type="first" r:id="rId67"/>
          <w:pgSz w:w="11906" w:h="16838" w:code="9"/>
          <w:pgMar w:top="2466" w:right="2098" w:bottom="2466" w:left="2098" w:header="1899" w:footer="1899" w:gutter="0"/>
          <w:cols w:space="708"/>
          <w:titlePg/>
          <w:docGrid w:linePitch="360"/>
        </w:sectPr>
      </w:pPr>
    </w:p>
    <w:p w:rsidR="00E11DA9" w:rsidRPr="0082126A" w:rsidRDefault="00E11DA9" w:rsidP="00E11DA9">
      <w:pPr>
        <w:pStyle w:val="TableHeading"/>
        <w:rPr>
          <w:lang w:val="en-AU"/>
        </w:rPr>
      </w:pPr>
      <w:r w:rsidRPr="00D30CBA">
        <w:lastRenderedPageBreak/>
        <w:t>Table</w:t>
      </w:r>
      <w:r>
        <w:t xml:space="preserve"> 3.6</w:t>
      </w:r>
      <w:r w:rsidRPr="00D30CBA">
        <w:t xml:space="preserve">: </w:t>
      </w:r>
      <w:r>
        <w:t xml:space="preserve">Statement of asset movements (Budget year </w:t>
      </w:r>
      <w:r>
        <w:rPr>
          <w:lang w:val="en-AU"/>
        </w:rPr>
        <w:t>2020-21</w:t>
      </w:r>
      <w:r>
        <w:t>)</w:t>
      </w:r>
      <w:r>
        <w:rPr>
          <w:lang w:val="en-AU"/>
        </w:rPr>
        <w:br/>
      </w:r>
    </w:p>
    <w:p w:rsidR="000C3B86" w:rsidRPr="000C3B86" w:rsidRDefault="00980B59" w:rsidP="006A5DCE">
      <w:pPr>
        <w:pStyle w:val="TableGraphic"/>
        <w:jc w:val="left"/>
      </w:pPr>
      <w:r w:rsidRPr="00980B59">
        <w:rPr>
          <w:noProof/>
        </w:rPr>
        <w:drawing>
          <wp:inline distT="0" distB="0" distL="0" distR="0">
            <wp:extent cx="3870325" cy="3009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0325" cy="3009265"/>
                    </a:xfrm>
                    <a:prstGeom prst="rect">
                      <a:avLst/>
                    </a:prstGeom>
                    <a:noFill/>
                    <a:ln>
                      <a:noFill/>
                    </a:ln>
                  </pic:spPr>
                </pic:pic>
              </a:graphicData>
            </a:graphic>
          </wp:inline>
        </w:drawing>
      </w:r>
      <w:r w:rsidR="00891890">
        <w:br w:type="textWrapping" w:clear="all"/>
      </w:r>
      <w:r w:rsidR="001852C5" w:rsidRPr="00994647">
        <w:rPr>
          <w:rFonts w:ascii="Arial" w:hAnsi="Arial"/>
          <w:sz w:val="16"/>
        </w:rPr>
        <w:t>Prepared on Austra</w:t>
      </w:r>
      <w:r w:rsidR="006A5DCE">
        <w:rPr>
          <w:rFonts w:ascii="Arial" w:hAnsi="Arial"/>
          <w:sz w:val="16"/>
        </w:rPr>
        <w:t xml:space="preserve">lian Accounting Standards basis. </w:t>
      </w:r>
    </w:p>
    <w:sectPr w:rsidR="000C3B86" w:rsidRPr="000C3B86" w:rsidSect="0050346A">
      <w:headerReference w:type="even" r:id="rId69"/>
      <w:headerReference w:type="default" r:id="rId70"/>
      <w:headerReference w:type="first" r:id="rId71"/>
      <w:footerReference w:type="first" r:id="rId72"/>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0A5" w:rsidRDefault="000B70A5" w:rsidP="00C07DEC">
      <w:r>
        <w:separator/>
      </w:r>
    </w:p>
  </w:endnote>
  <w:endnote w:type="continuationSeparator" w:id="0">
    <w:p w:rsidR="000B70A5" w:rsidRDefault="000B70A5"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0B70A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07B12">
      <w:rPr>
        <w:rStyle w:val="PageNumber"/>
        <w:noProof/>
      </w:rPr>
      <w:t>27</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A5DCE" w:rsidRDefault="000B70A5" w:rsidP="006A5DCE">
    <w:pPr>
      <w:pStyle w:val="Footer"/>
      <w:rPr>
        <w:rStyle w:val="PageNumber"/>
        <w:rFonts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E11DA9" w:rsidRDefault="000B70A5" w:rsidP="00E11D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21026A" w:rsidRDefault="000B70A5" w:rsidP="0021026A">
    <w:pPr>
      <w:pStyle w:val="Footer"/>
      <w:jc w:val="both"/>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A5DCE" w:rsidRDefault="000B70A5" w:rsidP="006A5DCE">
    <w:pPr>
      <w:pStyle w:val="Footer"/>
      <w:rPr>
        <w:rStyle w:val="PageNumbe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F1212" w:rsidRDefault="000B70A5" w:rsidP="004342F8">
    <w:pPr>
      <w:pStyle w:val="Footer"/>
      <w:rPr>
        <w:rStyle w:val="PageNumber"/>
        <w:lang w:val="en-A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970DA" w:rsidRDefault="000B70A5" w:rsidP="006970DA">
    <w:pPr>
      <w:pStyle w:val="Footer"/>
      <w:rPr>
        <w:rStyle w:val="PageNumbe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A5DCE" w:rsidRDefault="000B70A5" w:rsidP="006A5DC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1808A4" w:rsidRDefault="000B70A5" w:rsidP="0049200C">
    <w:pPr>
      <w:pStyle w:val="FooterBas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A5DCE" w:rsidRDefault="000B70A5" w:rsidP="006A5DC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6A5DCE" w:rsidRDefault="000B70A5" w:rsidP="006A5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0A5" w:rsidRDefault="000B70A5" w:rsidP="00C07DEC">
      <w:r>
        <w:separator/>
      </w:r>
    </w:p>
  </w:footnote>
  <w:footnote w:type="continuationSeparator" w:id="0">
    <w:p w:rsidR="000B70A5" w:rsidRDefault="000B70A5" w:rsidP="00C07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461A4" w:rsidRDefault="000B70A5" w:rsidP="004461A4">
    <w:pPr>
      <w:pStyle w:val="HeaderEven"/>
    </w:pPr>
    <w:r>
      <w:rPr>
        <w:noProof/>
      </w:rPr>
      <mc:AlternateContent>
        <mc:Choice Requires="wps">
          <w:drawing>
            <wp:anchor distT="0" distB="0" distL="0" distR="0" simplePos="0" relativeHeight="251649536" behindDoc="0" locked="1" layoutInCell="0" allowOverlap="1" wp14:anchorId="3B0048C9" wp14:editId="14F52D60">
              <wp:simplePos x="0" y="0"/>
              <wp:positionH relativeFrom="margin">
                <wp:align>center</wp:align>
              </wp:positionH>
              <wp:positionV relativeFrom="page">
                <wp:posOffset>512445</wp:posOffset>
              </wp:positionV>
              <wp:extent cx="4910455" cy="615315"/>
              <wp:effectExtent l="0" t="0" r="4445" b="0"/>
              <wp:wrapSquare wrapText="bothSides"/>
              <wp:docPr id="51" name="Text Box 1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alt="Portrait Classification Header" style="position:absolute;margin-left:0;margin-top:40.35pt;width:386.65pt;height:48.45pt;z-index:2516495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g6xwIAANIFAAAOAAAAZHJzL2Uyb0RvYy54bWysVFFvmzAQfp+0/2D5nQIppAGVVC2EbVK3&#10;VWr3AxwwwZqxme2EdNP++84mpGmrSdM2HqzD9n13993nu7zadxztqNJMigyHZwFGVFSyZmKT4S8P&#10;pbfASBsiasKloBl+pBpfLd++uRz6lM5kK3lNFQIQodOhz3BrTJ/6vq5a2hF9Jnsq4LCRqiMGftXG&#10;rxUZAL3j/iwI5v4gVd0rWVGtYbcYD/HS4TcNrcznptHUIJ5hyM24Vbl1bVd/eUnSjSJ9y6pDGuQv&#10;sugIExD0CFUQQ9BWsVdQHauU1LIxZ5XsfNk0rKKuBqgmDF5Uc9+SnrpagBzdH2nS/w+2+rS7U4jV&#10;GY5DjATpoEcPdG/QjdyjEBirqa6ArzupjCLMoJwTYBrSJgZajt5TAg20NA69TgHtvgc8swd3kIOj&#10;RPe3svqqkZB5S8SGXislhxb8oIzQevonriOOtiDr4aOsIR2yNdIB7RvVWY6BNQTokNzjsYU25Qo2&#10;oyQMojjGqIKzeRifh7ELQdLJu1favKOyQ9bIsAKJOHSyu9XGZkPS6YoNJmTJOHcy4eLZBlwcdyA2&#10;uNozm4Xr+o8kSFaL1SLyotl85UVBUXjXZR558zK8iIvzIs+L8KeNG0Zpy+qaChtmUmAY/VmHD29h&#10;1M5Rg1pyVls4m5JWm3XOFdoReAGl+w6EnFzzn6fhSIBaXpQUzqLgZpZ45Xxx4UVlFHvJRbDwgjC5&#10;SeZBlERF+bykWybov5eEhgwn8SwexfTb2gL3va6NpB0zMGM46zK8OF4iqZXgStSutYYwPtonVNj0&#10;n6iAdk+NdoK1Gh3VavbrPaBYFa9l/QjSVRKUBfqEwQhGK9V3jAYYMhnW37ZEUYz4BwHytxNpMtRk&#10;rCeDiApcM2wwGs3cjJNr2yu2aQF5fGBCXsMTaZhT71MWh4cFg8MVcRhydjKd/rtbT6N4+QsAAP//&#10;AwBQSwMEFAAGAAgAAAAhAI9b/FvdAAAABwEAAA8AAABkcnMvZG93bnJldi54bWxMjzFPwzAUhHck&#10;/oP1kNioDZXiEuJUFYIJCTUNA6MTvyZW4+cQu2349zUTHU93uvuuWM9uYCecgvWk4HEhgCG13ljq&#10;FHzV7w8rYCFqMnrwhAp+McC6vL0pdG78mSo87WLHUgmFXCvoYxxzzkPbo9Nh4Uek5O395HRMcuq4&#10;mfQ5lbuBPwmRcactpYVej/jaY3vYHZ2CzTdVb/bns9lW+8rW9bOgj+yg1P3dvHkBFnGO/2H4w0/o&#10;UCamxh/JBDYoSEeigpWQwJIr5XIJrEkxKTPgZcGv+csLAAAA//8DAFBLAQItABQABgAIAAAAIQC2&#10;gziS/gAAAOEBAAATAAAAAAAAAAAAAAAAAAAAAABbQ29udGVudF9UeXBlc10ueG1sUEsBAi0AFAAG&#10;AAgAAAAhADj9If/WAAAAlAEAAAsAAAAAAAAAAAAAAAAALwEAAF9yZWxzLy5yZWxzUEsBAi0AFAAG&#10;AAgAAAAhAEFk6DrHAgAA0gUAAA4AAAAAAAAAAAAAAAAALgIAAGRycy9lMm9Eb2MueG1sUEsBAi0A&#10;FAAGAAgAAAAhAI9b/FvdAAAABwEAAA8AAAAAAAAAAAAAAAAAIQUAAGRycy9kb3ducmV2LnhtbFBL&#10;BQYAAAAABAAEAPMAAAArBgAAAAA=&#10;" o:allowincell="f" filled="f" stroked="f">
              <v:textbox inset="0,0,0,0">
                <w:txbxContent>
                  <w:p w:rsidR="000B70A5" w:rsidRDefault="000B70A5" w:rsidP="004461A4">
                    <w:pPr>
                      <w:pStyle w:val="Classification"/>
                    </w:pPr>
                  </w:p>
                </w:txbxContent>
              </v:textbox>
              <w10:wrap type="square" anchorx="margin"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F05220" w:rsidP="004461A4">
    <w:pPr>
      <w:pStyle w:val="SecurityClassificationHeader"/>
    </w:pPr>
    <w:r>
      <w:fldChar w:fldCharType="begin"/>
    </w:r>
    <w:r>
      <w:instrText xml:space="preserve"> DOCPROPERTY SecurityClassification \* MERGEFORMAT </w:instrText>
    </w:r>
    <w:r>
      <w:fldChar w:fldCharType="separate"/>
    </w:r>
    <w:r w:rsidR="00635352">
      <w:rPr>
        <w:b w:val="0"/>
        <w:bCs/>
        <w:lang w:val="en-US"/>
      </w:rPr>
      <w:t>Error! Unknown document property name.</w:t>
    </w:r>
    <w:r>
      <w:fldChar w:fldCharType="end"/>
    </w:r>
  </w:p>
  <w:p w:rsidR="000B70A5" w:rsidRDefault="00407B12" w:rsidP="004461A4">
    <w:pPr>
      <w:pStyle w:val="DLMSecurityHeader"/>
    </w:pPr>
    <w:r>
      <w:fldChar w:fldCharType="begin"/>
    </w:r>
    <w:r>
      <w:instrText xml:space="preserve"> DOCPROPERTY DLMSecurityClassification \* MERGEFORMAT </w:instrText>
    </w:r>
    <w:r>
      <w:fldChar w:fldCharType="separate"/>
    </w:r>
    <w:r w:rsidR="00635352">
      <w:rPr>
        <w:b w:val="0"/>
        <w:bCs/>
        <w:lang w:val="en-US"/>
      </w:rPr>
      <w:t>Error! Unknown document property name.</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F05220" w:rsidP="004461A4">
    <w:pPr>
      <w:pStyle w:val="SecurityClassificationHeader"/>
    </w:pPr>
    <w:r>
      <w:fldChar w:fldCharType="begin"/>
    </w:r>
    <w:r>
      <w:instrText xml:space="preserve"> DOCPROPERTY SecurityClassification \* MERGEFORMAT </w:instrText>
    </w:r>
    <w:r>
      <w:fldChar w:fldCharType="separate"/>
    </w:r>
    <w:r w:rsidR="00635352">
      <w:rPr>
        <w:b w:val="0"/>
        <w:bCs/>
        <w:lang w:val="en-US"/>
      </w:rPr>
      <w:t>Error! Unknown document property name.</w:t>
    </w:r>
    <w:r>
      <w:fldChar w:fldCharType="end"/>
    </w:r>
  </w:p>
  <w:p w:rsidR="000B70A5" w:rsidRDefault="00407B12" w:rsidP="004461A4">
    <w:pPr>
      <w:pStyle w:val="DLMSecurityHeader"/>
    </w:pPr>
    <w:r>
      <w:fldChar w:fldCharType="begin"/>
    </w:r>
    <w:r>
      <w:instrText xml:space="preserve"> DOCPROPERTY DLMSecurityClassification \* MERGEFORMAT </w:instrText>
    </w:r>
    <w:r>
      <w:fldChar w:fldCharType="separate"/>
    </w:r>
    <w:r w:rsidR="00635352">
      <w:rPr>
        <w:b w:val="0"/>
        <w:bCs/>
        <w:lang w:val="en-US"/>
      </w:rPr>
      <w:t>Error! Unknown document property name.</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9200C" w:rsidRDefault="007550E1" w:rsidP="0049200C">
    <w:pPr>
      <w:pStyle w:val="Header"/>
    </w:pPr>
    <w:r>
      <w:rPr>
        <w:lang w:val="en-AU"/>
      </w:rPr>
      <w:t>PBO</w:t>
    </w:r>
    <w:r w:rsidR="000B70A5" w:rsidRPr="00F00984">
      <w:t xml:space="preserve"> Budget Statements</w:t>
    </w:r>
    <w:r w:rsidR="000B70A5">
      <w:rPr>
        <w:noProof/>
        <w:lang w:val="en-AU" w:eastAsia="en-AU"/>
      </w:rPr>
      <w:t xml:space="preserve"> </w:t>
    </w:r>
    <w:r w:rsidR="000B70A5">
      <w:rPr>
        <w:noProof/>
        <w:lang w:val="en-AU" w:eastAsia="en-AU"/>
      </w:rPr>
      <mc:AlternateContent>
        <mc:Choice Requires="wps">
          <w:drawing>
            <wp:anchor distT="0" distB="0" distL="0" distR="0" simplePos="0" relativeHeight="251675136" behindDoc="0" locked="1" layoutInCell="0" allowOverlap="1" wp14:anchorId="0A7FD932" wp14:editId="65BC1998">
              <wp:simplePos x="0" y="0"/>
              <wp:positionH relativeFrom="margin">
                <wp:posOffset>-8890</wp:posOffset>
              </wp:positionH>
              <wp:positionV relativeFrom="page">
                <wp:posOffset>514985</wp:posOffset>
              </wp:positionV>
              <wp:extent cx="4910455" cy="615315"/>
              <wp:effectExtent l="0" t="635" r="0" b="3175"/>
              <wp:wrapSquare wrapText="bothSides"/>
              <wp:docPr id="4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9" type="#_x0000_t202" alt="Portrait Classification Header" style="position:absolute;margin-left:-.7pt;margin-top:40.55pt;width:386.65pt;height:48.45pt;z-index:2516751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K2zAIAANo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qMYI0E6qNED3Rt0I/coDKB6NdUVJOxOKqMIMyjnBFINcRMDNUfvKYEK2jwOvU4B7r4HQLMHe9CD&#10;y4nub2X1VSMh85aIDb1WSg4t2AGP0Fr6J6YjjrYg6+GjrCEesjXSAe0b1dkkQ9oQoEM9H481tDFX&#10;cBglYRDFwKWCu3kYn4exc0HSybpX2ryjskN2k2EFGnHoZHerjY2GpNMT60zIknHudMLFswN4OJ6A&#10;bzC1dzYKV/YfSZCsFqtF5EWz+cqLgqLwrss88uZleBEX50WeF+FP6zeM0pbVNRXWzSTBMPqzEh+a&#10;YRTPUYRaclZbOBuSVpt1zhXaEWiB0n2HhJw885+H4ZIAXF5QCmdRcDNLvHK+uPCiMoq95CJYeEGY&#10;3CTzIEqionxO6ZYJ+u+U0JDhJJ7Fo5h+yy1w32tuJO2YgSHDWZfhxfERSa0EV6J2pTWE8XF/kgob&#10;/lMqoNxToZ1grUZHtZr9eu966Nx6t2Jey/oRFKwkCAxkCgMSNq1U3zEaYNhkWH/bEkUx4h8EdIGd&#10;TNNGTZv1tCGiAtMMG4zGbW7GCbbtFdu0gDz2mZDX0CkNcyJ+iuLQXzBAHJfDsLMT6vTfvXoayctf&#10;AAAA//8DAFBLAwQUAAYACAAAACEA9gFet98AAAAJAQAADwAAAGRycy9kb3ducmV2LnhtbEyPwU7D&#10;MBBE70j8g7VI3Fo7FWrSEKeqKjghIdJw4OjEbmI1XofYbcPfs5zocTVPM2+L7ewGdjFTsB4lJEsB&#10;zGDrtcVOwmf9usiAhahQq8GjkfBjAmzL+7tC5dpfsTKXQ+wYlWDIlYQ+xjHnPLS9cSos/WiQsqOf&#10;nIp0Th3Xk7pSuRv4Sog1d8oiLfRqNPvetKfD2UnYfWH1Yr/fm4/qWNm63gh8W5+kfHyYd8/Aopnj&#10;Pwx/+qQOJTk1/ow6sEHCInkiUkKWJMAoT9NkA6whMM0E8LLgtx+UvwAAAP//AwBQSwECLQAUAAYA&#10;CAAAACEAtoM4kv4AAADhAQAAEwAAAAAAAAAAAAAAAAAAAAAAW0NvbnRlbnRfVHlwZXNdLnhtbFBL&#10;AQItABQABgAIAAAAIQA4/SH/1gAAAJQBAAALAAAAAAAAAAAAAAAAAC8BAABfcmVscy8ucmVsc1BL&#10;AQItABQABgAIAAAAIQAZyWK2zAIAANoFAAAOAAAAAAAAAAAAAAAAAC4CAABkcnMvZTJvRG9jLnht&#10;bFBLAQItABQABgAIAAAAIQD2AV633wAAAAkBAAAPAAAAAAAAAAAAAAAAACYFAABkcnMvZG93bnJl&#10;di54bWxQSwUGAAAAAAQABADzAAAAMgY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9200C" w:rsidRDefault="000B70A5" w:rsidP="0049200C">
    <w:pPr>
      <w:pStyle w:val="Header"/>
    </w:pPr>
    <w:r>
      <w:rPr>
        <w:noProof/>
        <w:lang w:val="en-AU" w:eastAsia="en-AU"/>
      </w:rPr>
      <mc:AlternateContent>
        <mc:Choice Requires="wps">
          <w:drawing>
            <wp:anchor distT="0" distB="0" distL="0" distR="0" simplePos="0" relativeHeight="251676160" behindDoc="0" locked="1" layoutInCell="0" allowOverlap="1" wp14:anchorId="00982B1C" wp14:editId="68BA76DC">
              <wp:simplePos x="0" y="0"/>
              <wp:positionH relativeFrom="margin">
                <wp:posOffset>-8890</wp:posOffset>
              </wp:positionH>
              <wp:positionV relativeFrom="page">
                <wp:posOffset>514985</wp:posOffset>
              </wp:positionV>
              <wp:extent cx="4910455" cy="615315"/>
              <wp:effectExtent l="0" t="635" r="0" b="3175"/>
              <wp:wrapSquare wrapText="bothSides"/>
              <wp:docPr id="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Portrait Classification Header" style="position:absolute;margin-left:-.7pt;margin-top:40.55pt;width:386.65pt;height:48.45pt;z-index:2516761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nAywIAANk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mOMBOmgRA90b9CN3KMwgOLVVFeQrzupjCLMoJwTyDSETQyUHL2nBApo0zj0OgW0+x7wzB7sQQ4u&#10;Jbq/ldVXjYTMWyI29FopObRgBzRCa+mfmI442oKsh4+yhnjI1kgHtG9UZ3MMWUOADuV8PJbQxlzB&#10;YZSEQRQDlwru5mF8HsbOBUkn615p847KDtlNhhVIxKGT3a02NhqSTk+sMyFLxrmTCRfPDuDheAK+&#10;wdTe2Shc1X8kQbJarBaRF83mKy8KisK7LvPIm5fhRVycF3lehD+t3zBKW1bXVFg3kwLD6M8qfOiF&#10;UTtHDWrJWW3hbEhabdY5V2hHoANK9x0ScvLMfx6GSwJweUEpnEXBzSzxyvniwovKKPaSi2DhBWFy&#10;k8yDKImK8jmlWybov1NCQ4aTeBaPYvott8B9r7mRtGMGZgxnXYYXx0cktRJcidqV1hDGx/1JKmz4&#10;T6mAck+FdoK1Gh3VavbrvWuhyHq3Yl7L+hEUrCQIDGQK8xE2rVTfMRpg1mRYf9sSRTHiHwR0gR1M&#10;00ZNm/W0IaIC0wwbjMZtbsYBtu0V27SAPPaZkNfQKQ1zIn6K4tBfMD8cl8OsswPq9N+9eprIy18A&#10;AAD//wMAUEsDBBQABgAIAAAAIQD2AV633wAAAAkBAAAPAAAAZHJzL2Rvd25yZXYueG1sTI/BTsMw&#10;EETvSPyDtUjcWjsVatIQp6oqOCEh0nDg6MRuYjVeh9htw9+znOhxNU8zb4vt7AZ2MVOwHiUkSwHM&#10;YOu1xU7CZ/26yICFqFCrwaOR8GMCbMv7u0Ll2l+xMpdD7BiVYMiVhD7GMec8tL1xKiz9aJCyo5+c&#10;inROHdeTulK5G/hKiDV3yiIt9Go0+960p8PZSdh9YfViv9+bj+pY2breCHxbn6R8fJh3z8CimeM/&#10;DH/6pA4lOTX+jDqwQcIieSJSQpYkwChP02QDrCEwzQTwsuC3H5S/AAAA//8DAFBLAQItABQABgAI&#10;AAAAIQC2gziS/gAAAOEBAAATAAAAAAAAAAAAAAAAAAAAAABbQ29udGVudF9UeXBlc10ueG1sUEsB&#10;Ai0AFAAGAAgAAAAhADj9If/WAAAAlAEAAAsAAAAAAAAAAAAAAAAALwEAAF9yZWxzLy5yZWxzUEsB&#10;Ai0AFAAGAAgAAAAhABsVWcDLAgAA2QUAAA4AAAAAAAAAAAAAAAAALgIAAGRycy9lMm9Eb2MueG1s&#10;UEsBAi0AFAAGAAgAAAAhAPYBXrffAAAACQEAAA8AAAAAAAAAAAAAAAAAJQUAAGRycy9kb3ducmV2&#10;LnhtbFBLBQYAAAAABAAEAPMAAAAxBg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F1212" w:rsidRDefault="000B70A5" w:rsidP="004F1212">
    <w:pPr>
      <w:pStyle w:val="HeaderEven"/>
    </w:pPr>
    <w:r>
      <w:rPr>
        <w:noProof/>
      </w:rPr>
      <mc:AlternateContent>
        <mc:Choice Requires="wps">
          <w:drawing>
            <wp:anchor distT="0" distB="0" distL="0" distR="0" simplePos="0" relativeHeight="251662848" behindDoc="0" locked="1" layoutInCell="0" allowOverlap="1" wp14:anchorId="7838B01C" wp14:editId="31C90767">
              <wp:simplePos x="0" y="0"/>
              <wp:positionH relativeFrom="margin">
                <wp:align>center</wp:align>
              </wp:positionH>
              <wp:positionV relativeFrom="page">
                <wp:posOffset>512445</wp:posOffset>
              </wp:positionV>
              <wp:extent cx="4910455" cy="615315"/>
              <wp:effectExtent l="0" t="0" r="4445" b="0"/>
              <wp:wrapSquare wrapText="bothSides"/>
              <wp:docPr id="6" name="Text Box 17"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F121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alt="Portrait Classification Header" style="position:absolute;margin-left:0;margin-top:40.35pt;width:386.65pt;height:48.45pt;z-index:2516628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xygIAANgFAAAOAAAAZHJzL2Uyb0RvYy54bWysVFFvmzAQfp+0/2D5nQIpkIBKqhbCNqnb&#10;KrX7AQ6YYA1sZjsh3bT/vrMJadJq0rSNB+uwfZ/vvvvurq73XYt2VComeIr9Cw8jyktRMb5J8ZfH&#10;wllgpDThFWkFpyl+ogpfL9++uRr6hM5EI9qKSgQgXCVDn+JG6z5xXVU2tCPqQvSUw2EtZEc0/MqN&#10;W0kyAHrXujPPi9xByKqXoqRKwW4+HuKlxa9rWurPda2oRm2KITZtV2nXtVnd5RVJNpL0DSsPYZC/&#10;iKIjjMOjR6icaIK2kr2C6lgphRK1vihF54q6ZiW1OUA2vvcim4eG9NTmAuSo/kiT+n+w5afdvUSs&#10;SnGEEScdlOiR7jW6FXvkzzGqqCqBrnshtSRMo6wlQDRETTRUHL2nBOpnWBx6lQDYQw9weg/uoAbL&#10;iOrvRPlVIS6yhvANvZFSDA34QRa+8XRPXEccZUDWw0dRQThkq4UF2teyMxQDaQjQoZpPxwqakEvY&#10;DGLfC8IQoxLOIj+89EP7BEkm714q/Y6KDhkjxRIUYtHJ7k5pEw1JpivmMS4K1rZWJS0/24CL4w68&#10;Da7mzERhi/4j9uLVYrUInGAWrZzAy3PnpsgCJyr8eZhf5lmW+z/Nu36QNKyqKDfPTAL0gz8r8KEV&#10;RukcJahEyyoDZ0JScrPOWol2BBqgsN+BkJNr7nkYlgTI5UVK/izwbmexU0SLuRMUQejEc2/heH58&#10;G0deEAd5cZ7SHeP031NCQ4rjcBaOYvptbp79XudGko5pGDEt61K8OF4iiZHgile2tJqwdrRPqDDh&#10;P1MB5Z4KbQVrNDqqVe/Xe9tBVmpGzGtRPYGCpQCBgUxhPILRCPkdowFGTYrVty2RFKP2A4cuMHNp&#10;MuRkrCeD8BJcU6wxGs1Mj/Nr20u2aQB57DMubqBTamZF/BzFob9gfNhcDqPOzKfTf3vreSAvfwE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D6GefHKAgAA2AUAAA4AAAAAAAAAAAAAAAAALgIAAGRycy9lMm9Eb2MueG1sUEsB&#10;Ai0AFAAGAAgAAAAhAI9b/FvdAAAABwEAAA8AAAAAAAAAAAAAAAAAJAUAAGRycy9kb3ducmV2Lnht&#10;bFBLBQYAAAAABAAEAPMAAAAuBgAAAAA=&#10;" o:allowincell="f" filled="f" stroked="f">
              <v:textbox inset="0,0,0,0">
                <w:txbxContent>
                  <w:p w:rsidR="000B70A5" w:rsidRDefault="000B70A5" w:rsidP="004F1212">
                    <w:pPr>
                      <w:pStyle w:val="Classification"/>
                    </w:pPr>
                  </w:p>
                </w:txbxContent>
              </v:textbox>
              <w10:wrap type="square" anchorx="margin" anchory="page"/>
              <w10:anchorlock/>
            </v:shape>
          </w:pict>
        </mc:Fallback>
      </mc:AlternateContent>
    </w:r>
    <w:r w:rsidR="00F15D2B" w:rsidRPr="004F1212">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0B70A5" w:rsidP="004F1212">
    <w:pPr>
      <w:pStyle w:val="HeaderEven"/>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0B70A5" w:rsidP="0049200C">
    <w:pPr>
      <w:pStyle w:val="HeaderOdd"/>
    </w:pPr>
    <w:r>
      <w:rPr>
        <w:noProof/>
      </w:rPr>
      <mc:AlternateContent>
        <mc:Choice Requires="wps">
          <w:drawing>
            <wp:anchor distT="0" distB="0" distL="0" distR="0" simplePos="0" relativeHeight="251639296" behindDoc="0" locked="1" layoutInCell="0" allowOverlap="1" wp14:anchorId="082DBD2F" wp14:editId="5DBF617B">
              <wp:simplePos x="0" y="0"/>
              <wp:positionH relativeFrom="margin">
                <wp:align>center</wp:align>
              </wp:positionH>
              <wp:positionV relativeFrom="page">
                <wp:posOffset>512445</wp:posOffset>
              </wp:positionV>
              <wp:extent cx="4910455" cy="615315"/>
              <wp:effectExtent l="0" t="0" r="4445" b="0"/>
              <wp:wrapSquare wrapText="bothSides"/>
              <wp:docPr id="41" name="Text Box 1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alt="Portrait Classification Header" style="position:absolute;left:0;text-align:left;margin-left:0;margin-top:40.35pt;width:386.65pt;height:48.45pt;z-index:2516392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qfywIAANkFAAAOAAAAZHJzL2Uyb0RvYy54bWysVG1vmzAQ/j5p/8HydwqkQAMqqVoI26Ru&#10;q9TuBzhggjWwme0Eumn/fWcT0rTVpGkbH6zDvnvu7bm7vBq7Fu2pVEzwFPtnHkaUl6JifJviLw+F&#10;s8RIacIr0gpOU/xIFb5avX1zOfQJXYhGtBWVCEC4SoY+xY3WfeK6qmxoR9SZ6CmHx1rIjmj4lVu3&#10;kmQA9K51F54XuYOQVS9FSZWC23x6xCuLX9e01J/rWlGN2hRDbNqe0p4bc7qrS5JsJekbVh7CIH8R&#10;RUcYB6dHqJxognaSvYLqWCmFErU+K0XnirpmJbU5QDa+9yKb+4b01OYCxVH9sUzq/8GWn/Z3ErEq&#10;xYGPEScd9OiBjhrdiBH55xhVVJVQrzshtSRMo6wlUGkIm2hoOXpPCTTQlHHoVQJo9z3g6RHMgQ62&#10;JKq/FeVXhbjIGsK39FpKMTRgB2n4xtI9MZ1wlAHZDB9FBeGQnRYWaKxlZ2oMVUOADu18PLbQhFzC&#10;ZRD7XhCGGJXwFvnhuR9aFySZrXup9DsqOmSEFEugiEUn+1ulTTQkmVWMMy4K1raWJi1/dgGK0w34&#10;BlPzZqKwXf8Re/F6uV4GTrCI1k7g5blzXWSBExX+RZif51mW+z+NXz9IGlZVlBs3MwP94M86fJiF&#10;iTtHDirRssrAmZCU3G6yVqI9gQko7HcoyIma+zwMWwTI5UVK/iLwbhaxU0TLCycogtCJL7yl4/nx&#10;TRx5QRzkxfOUbhmn/54SGlIch4twItNvc/Ps9zo3knRMw45pWZfi5VGJJIaCa17Z1mrC2kk+KYUJ&#10;/6kU0O650ZawhqMTW/W4Ge0IRca7IfNGVI/AYCmAYEBT2I8gNEJ+x2iAXZNi9W1HJMWo/cBhCsxi&#10;mgU5C5tZILwE0xRrjCYx09MC2/WSbRtAnuaMi2uYlJpZEj9FcZgv2B82l8OuMwvq9N9qPW3k1S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7DnqfywIAANkFAAAOAAAAAAAAAAAAAAAAAC4CAABkcnMvZTJvRG9jLnhtbFBL&#10;AQItABQABgAIAAAAIQCPW/xb3QAAAAcBAAAPAAAAAAAAAAAAAAAAACUFAABkcnMvZG93bnJldi54&#10;bWxQSwUGAAAAAAQABADzAAAALwY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0B70A5">
    <w:pPr>
      <w:pStyle w:val="Header"/>
      <w:jc w:val="center"/>
    </w:pPr>
    <w:r>
      <w:rPr>
        <w:noProof/>
        <w:lang w:val="en-AU" w:eastAsia="en-AU"/>
      </w:rPr>
      <w:drawing>
        <wp:inline distT="0" distB="0" distL="0" distR="0" wp14:anchorId="03A0D95A" wp14:editId="4CBF11C2">
          <wp:extent cx="880110" cy="690245"/>
          <wp:effectExtent l="0" t="0" r="0" b="0"/>
          <wp:docPr id="94" name="Picture 94"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F00984" w:rsidRDefault="00962F58" w:rsidP="00F00984">
    <w:pPr>
      <w:pStyle w:val="HeaderEven"/>
    </w:pPr>
    <w:r>
      <w:t>PBO Budget Statements</w:t>
    </w:r>
    <w:r>
      <w:rPr>
        <w:noProof/>
      </w:rPr>
      <w:t xml:space="preserve"> </w:t>
    </w:r>
    <w:r w:rsidR="000B70A5">
      <w:rPr>
        <w:noProof/>
      </w:rPr>
      <mc:AlternateContent>
        <mc:Choice Requires="wps">
          <w:drawing>
            <wp:anchor distT="0" distB="0" distL="0" distR="0" simplePos="0" relativeHeight="251643392" behindDoc="0" locked="1" layoutInCell="0" allowOverlap="1" wp14:anchorId="00A46BD4" wp14:editId="3EC95B9D">
              <wp:simplePos x="0" y="0"/>
              <wp:positionH relativeFrom="margin">
                <wp:align>center</wp:align>
              </wp:positionH>
              <wp:positionV relativeFrom="page">
                <wp:posOffset>512445</wp:posOffset>
              </wp:positionV>
              <wp:extent cx="4910455" cy="615315"/>
              <wp:effectExtent l="0" t="0" r="4445" b="0"/>
              <wp:wrapSquare wrapText="bothSides"/>
              <wp:docPr id="29"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alt="Portrait Classification Header" style="position:absolute;margin-left:0;margin-top:40.35pt;width:386.65pt;height:48.45pt;z-index:2516433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rywIAANkFAAAOAAAAZHJzL2Uyb0RvYy54bWysVG1vmzAQ/j5p/8Hyd8pLIQmopGohbJO6&#10;rVK7H+CACdbAZrYT0k377zubkCatJk3b+GAdZ99zb8/d1fW+a9GOSsUET7F/4WFEeSkqxjcp/vJY&#10;OAuMlCa8Iq3gNMVPVOHr5ds3V0Of0EA0oq2oRADCVTL0KW607hPXVWVDO6IuRE85XNZCdkTDr9y4&#10;lSQDoHetG3jezB2ErHopSqoUaPPxEi8tfl3TUn+ua0U1alMMsWl7Snuuzekur0iykaRvWHkIg/xF&#10;FB1hHJweoXKiCdpK9gqqY6UUStT6ohSdK+qaldTmANn43otsHhrSU5sLFEf1xzKp/wdbftrdS8Sq&#10;FAcxRpx00KNHutfoVuyRD6qKqhLqdS+kloRplLUEKg1hEw0tR+8pgQaaMg69SgDtoQc8vQdzoIMt&#10;iervRPlVIS6yhvANvZFSDA3YQRq+sXRPTEccZUDWw0dRQThkq4UF2teyMzWGqiFAh3Y+HVtoQi5B&#10;Gca+F0YRRiXczfzo0o+sC5JM1r1U+h0VHTJCiiVQxKKT3Z3SJhqSTE+MMy4K1raWJi0/U8DDUQO+&#10;wdTcmShs13/EXrxarBahEwazlRN6ee7cFFnozAp/HuWXeZbl/k/j1w+ThlUV5cbNxEA//LMOH2Zh&#10;5M6Rg0q0rDJwJiQlN+uslWhHYAIK+x0KcvLMPQ/DFgFyeZGSH4TebRA7xWwxd8IijJx47i0cz49v&#10;45kXxmFenKd0xzj995TQkOI4CqKRTL/NzbPf69xI0jENO6ZlXYoXx0ckMRRc8cq2VhPWjvJJKUz4&#10;z6WAdk+NtoQ1HB3ZqvfrvR2hufFuyLwW1RMwWAogGNAU9iMIjZDfMRpg16RYfdsSSTFqP3CYArOY&#10;JkFOwnoSCC/BNMUao1HM9LjAtr1kmwaQxznj4gYmpWaWxM9RHOYL9ofN5bDrzII6/bevnjfy8hc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xJ9rywIAANkFAAAOAAAAAAAAAAAAAAAAAC4CAABkcnMvZTJvRG9jLnhtbFBL&#10;AQItABQABgAIAAAAIQCPW/xb3QAAAAcBAAAPAAAAAAAAAAAAAAAAACUFAABkcnMvZG93bnJldi54&#10;bWxQSwUGAAAAAAQABADzAAAALwY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r w:rsidR="00407B12">
      <w:fldChar w:fldCharType="begin"/>
    </w:r>
    <w:r w:rsidR="00407B12">
      <w:instrText xml:space="preserve"> TITLE   \* MERGEFORMAT </w:instrText>
    </w:r>
    <w:r w:rsidR="00407B12">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962F58" w:rsidP="00F00984">
    <w:pPr>
      <w:pStyle w:val="HeaderOdd"/>
    </w:pPr>
    <w:r>
      <w:t>PBO Budget Statements</w:t>
    </w:r>
    <w:r>
      <w:rPr>
        <w:noProof/>
      </w:rPr>
      <w:t xml:space="preserve"> </w:t>
    </w:r>
    <w:r w:rsidR="000B70A5">
      <w:rPr>
        <w:noProof/>
      </w:rPr>
      <mc:AlternateContent>
        <mc:Choice Requires="wps">
          <w:drawing>
            <wp:anchor distT="0" distB="0" distL="0" distR="0" simplePos="0" relativeHeight="251655680" behindDoc="0" locked="1" layoutInCell="0" allowOverlap="1" wp14:anchorId="4DCC6755" wp14:editId="35A51041">
              <wp:simplePos x="0" y="0"/>
              <wp:positionH relativeFrom="margin">
                <wp:align>center</wp:align>
              </wp:positionH>
              <wp:positionV relativeFrom="page">
                <wp:posOffset>512445</wp:posOffset>
              </wp:positionV>
              <wp:extent cx="4910455" cy="615315"/>
              <wp:effectExtent l="0" t="0" r="4445" b="0"/>
              <wp:wrapSquare wrapText="bothSides"/>
              <wp:docPr id="28" name="Text Box 2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alt="Portrait Classification Header" style="position:absolute;left:0;text-align:left;margin-left:0;margin-top:40.35pt;width:386.65pt;height:48.45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oDywIAANkFAAAOAAAAZHJzL2Uyb0RvYy54bWysVG1vmzAQ/j5p/8Hyd8pLIQVUUrUQtknd&#10;VqndD3DABGtgM9sJ6ab9951NSNNWk6ZtfLCM7Xvu7rnn7vJq33doR6VigmfYP/MworwSNeObDH95&#10;KJ0YI6UJr0knOM3wI1X4avn2zeU4pDQQrehqKhGAcJWOQ4ZbrYfUdVXV0p6oMzFQDpeNkD3R8Cs3&#10;bi3JCOh95waet3BHIetBiooqBafFdImXFr9paKU/N42iGnUZhti0XaVd12Z1l5ck3UgytKw6hEH+&#10;IoqeMA5Oj1AF0QRtJXsF1bNKCiUafVaJ3hVNwypqc4BsfO9FNvctGajNBchRw5Em9f9gq0+7O4lY&#10;neEAKsVJDzV6oHuNbsQeBcBYTVUFfN0JqSVhGuUdAaYhbKKh5Og9JVBAQ+M4qBTQ7gfA03swBzlY&#10;StRwK6qvCnGRt4Rv6LWUYmzBDtLwjaV7YjrhKAOyHj+KGsIhWy0s0L6RveEYWEOADsE9HktoQq7g&#10;MEx8L4wijCq4W/jRuR9ZFySdrQep9DsqemQ2GZYgEYtOdrdKm2hIOj8xzrgoWddZmXT82QE8nE7A&#10;N5iaOxOFrfqPxEtW8SoOnTBYrJzQKwrnusxDZ1H6F1FxXuR54f80fv0wbVldU27czAr0wz+r8KEX&#10;Ju0cNahEx2oDZ0JScrPOO4l2BDqgtN+BkJNn7vMwLAmQy4uU/CD0boLEKRfxhROWYeQkF17seH5y&#10;kyy8MAmL8nlKt4zTf08JjRlOoiCaxPTb3Dz7vc6NpD3TMGM61mc4Pj4iqZHgite2tJqwbtqfUGHC&#10;f6ICyj0X2grWaHRSq96v97aFYuPdiHkt6kdQsBQgMJApzEfYtEJ+x2iEWZNh9W1LJMWo+8ChC8xg&#10;mjdy3qznDeEVmGZYYzRtcz0NsO0g2aYF5KnPuLiGTmmYFfFTFIf+gvlhcznMOjOgTv/tq6eJvPwF&#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XhCoDywIAANkFAAAOAAAAAAAAAAAAAAAAAC4CAABkcnMvZTJvRG9jLnhtbFBL&#10;AQItABQABgAIAAAAIQCPW/xb3QAAAAcBAAAPAAAAAAAAAAAAAAAAACUFAABkcnMvZG93bnJldi54&#10;bWxQSwUGAAAAAAQABADzAAAALwY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r w:rsidR="00407B12">
      <w:fldChar w:fldCharType="begin"/>
    </w:r>
    <w:r w:rsidR="00407B12">
      <w:instrText xml:space="preserve"> TITLE   \* MERGEFORMAT </w:instrText>
    </w:r>
    <w:r w:rsidR="00407B12">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B4084B" w:rsidRDefault="00962F58" w:rsidP="0049200C">
    <w:pPr>
      <w:pStyle w:val="HeaderOdd"/>
    </w:pPr>
    <w:r w:rsidRPr="00962F58">
      <w:t xml:space="preserve">PBO Budget Statements </w:t>
    </w:r>
    <w:r w:rsidR="000B70A5">
      <w:rPr>
        <w:noProof/>
      </w:rPr>
      <mc:AlternateContent>
        <mc:Choice Requires="wps">
          <w:drawing>
            <wp:anchor distT="0" distB="0" distL="0" distR="0" simplePos="0" relativeHeight="251642368" behindDoc="0" locked="1" layoutInCell="0" allowOverlap="1" wp14:anchorId="186D686E" wp14:editId="384BFD22">
              <wp:simplePos x="0" y="0"/>
              <wp:positionH relativeFrom="margin">
                <wp:align>center</wp:align>
              </wp:positionH>
              <wp:positionV relativeFrom="page">
                <wp:posOffset>512445</wp:posOffset>
              </wp:positionV>
              <wp:extent cx="4910455" cy="615315"/>
              <wp:effectExtent l="0" t="0" r="4445" b="0"/>
              <wp:wrapSquare wrapText="bothSides"/>
              <wp:docPr id="2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alt="Portrait Classification Header" style="position:absolute;left:0;text-align:left;margin-left:0;margin-top:40.35pt;width:386.65pt;height:48.45pt;z-index:2516423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IOywIAANk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mGHHSQY8e6V6jW7FHPjSvoqqEet0LqSVhGmUtgUpD2ERDy9F7SqCBpoxDrxJAe+gBT+/BHOhg&#10;S6L6O1F+VYiLrCF8Q2+kFEMDdpCGbyzdE9MRRxmQ9fBRVBAO2Wphgfa17EyNoWoI0KGdT8cWmpBL&#10;uAxj3wujCKMS3mZ+dOlH1gVJJuteKv2Oig4ZIcUSKGLRye5OaRMNSSYV44yLgrWtpUnLzy5AcbwB&#10;32Bq3kwUtus/Yi9eLVaL0AmD2coJvTx3boosdGaFP4/yyzzLcv+n8euHScOqinLjZmKgH/5Zhw+z&#10;MHLnyEElWlYZOBOSkpt11kq0IzABhf0OBTlRc8/DsEWAXF6k5AehdxvETjFbzJ2wCCMnnnsLx/Pj&#10;23jmhXGYF+cp3TFO/z0lNKQ4joJoJNNvc/Ps9zo3knRMw45pWZfixVGJJIaCK17Z1mrC2lE+KYUJ&#10;/7kU0O6p0ZawhqMjW/V+vbcjFBvvhsxrUT0Bg6UAggFNYT+C0Aj5HaMBdk2K1bctkRSj9gOHKTCL&#10;aRLkJKwngfASTFOsMRrFTI8LbNtLtmkAeZwzLm5gUmpmSfwcxWG+YH/YXA67ziyo03+r9byRl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1MIIOywIAANkFAAAOAAAAAAAAAAAAAAAAAC4CAABkcnMvZTJvRG9jLnhtbFBL&#10;AQItABQABgAIAAAAIQCPW/xb3QAAAAcBAAAPAAAAAAAAAAAAAAAAACUFAABkcnMvZG93bnJldi54&#10;bWxQSwUGAAAAAAQABADzAAAALwY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F00984" w:rsidRDefault="000B70A5" w:rsidP="00F00984">
    <w:pPr>
      <w:pStyle w:val="HeaderEven"/>
    </w:pPr>
    <w:r>
      <w:rPr>
        <w:noProof/>
      </w:rPr>
      <mc:AlternateContent>
        <mc:Choice Requires="wps">
          <w:drawing>
            <wp:anchor distT="0" distB="0" distL="0" distR="0" simplePos="0" relativeHeight="251651584" behindDoc="0" locked="1" layoutInCell="0" allowOverlap="1" wp14:anchorId="2D826228" wp14:editId="7DFC60C2">
              <wp:simplePos x="0" y="0"/>
              <wp:positionH relativeFrom="margin">
                <wp:align>center</wp:align>
              </wp:positionH>
              <wp:positionV relativeFrom="page">
                <wp:posOffset>512445</wp:posOffset>
              </wp:positionV>
              <wp:extent cx="4910455" cy="615315"/>
              <wp:effectExtent l="0" t="0" r="4445" b="0"/>
              <wp:wrapSquare wrapText="bothSides"/>
              <wp:docPr id="25"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alt="Portrait Classification Header" style="position:absolute;margin-left:0;margin-top:40.35pt;width:386.65pt;height:48.45pt;z-index:25165158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AzAIAANoFAAAOAAAAZHJzL2Uyb0RvYy54bWysVG1vmzAQ/j5p/8Hyd8pLIQ2opGohbJO6&#10;rVK7H+CACdbAZrYT6Kb9951NSNNWk6ZtfLAO2/f4nrvn7vJq7Fq0p1IxwVPsn3kYUV6KivFtir88&#10;FM4SI6UJr0grOE3xI1X4avX2zeXQJzQQjWgrKhGAcJUMfYobrfvEdVXZ0I6oM9FTDoe1kB3R8Cu3&#10;biXJAOhd6waet3AHIateipIqBbv5dIhXFr+uaak/17WiGrUphti0XaVdN2Z1V5ck2UrSN6w8hEH+&#10;IoqOMA6PHqFyognaSfYKqmOlFErU+qwUnSvqmpXUcgA2vveCzX1Demq5QHJUf0yT+n+w5af9nUSs&#10;SnEQYcRJBzV6oKNGN2JEQYBRRVUJ+boTUkvCNMpaApmGsImGkqP3lEABTRqHXiWAdt8Dnh7BHeRg&#10;U6L6W1F+VYiLrCF8S6+lFEMDfkDDN57uieuEowzIZvgoKgiH7LSwQGMtO5NjyBoCdCjn47GEJuQS&#10;NsPY98IIqJRwtvCjcz+yT5Bk9u6l0u+o6JAxUixBIhad7G+VNtGQZL5iHuOiYG1rZdLyZxtwcdqB&#10;t8HVnJkobNV/xF68Xq6XoRMGi7UTennuXBdZ6CwK/yLKz/Msy/2f5l0/TBpWVZSbZ2YF+uGfVfjQ&#10;C5N2jhpUomWVgTMhKbndZK1EewIdUNjvkJCTa+7zMGwSgMsLSn4QejdB7BSL5YUTFmHkxBfe0vH8&#10;+CZeeGEc5sVzSreM03+nhIYUxxHI09L5LTfPfq+5kaRjGmZMy7oUL4+XSGIkuOaVLa0mrJ3sk1SY&#10;8J9SAeWeC20FazQ6qVWPm9G2kG/niVHzRlSPIGEpQGGgUxiQYDRCfsdogGGTYvVtRyTFqP3AoQ3M&#10;ZJoNORub2SC8BNcUa4wmM9PTBNv1km0bQJ4ajYtraJWaWRU/RXFoMBgglsxh2JkJdfpvbz2N5N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P8QcQMwCAADaBQAADgAAAAAAAAAAAAAAAAAuAgAAZHJzL2Uyb0RvYy54bWxQ&#10;SwECLQAUAAYACAAAACEAj1v8W90AAAAHAQAADwAAAAAAAAAAAAAAAAAmBQAAZHJzL2Rvd25yZXYu&#10;eG1sUEsFBgAAAAAEAAQA8wAAADAGAAAAAA==&#10;" o:allowincell="f" filled="f" stroked="f">
              <v:textbox inset="0,0,0,0">
                <w:txbxContent>
                  <w:p w:rsidR="000B70A5" w:rsidRDefault="000B70A5" w:rsidP="004461A4">
                    <w:pPr>
                      <w:pStyle w:val="Classification"/>
                    </w:pPr>
                  </w:p>
                </w:txbxContent>
              </v:textbox>
              <w10:wrap type="square" anchorx="margin" anchory="page"/>
              <w10:anchorlock/>
            </v:shape>
          </w:pict>
        </mc:Fallback>
      </mc:AlternateContent>
    </w:r>
    <w:r w:rsidR="00302100">
      <w:t>PBO</w:t>
    </w:r>
    <w:r w:rsidRPr="00F00984">
      <w:t xml:space="preserve"> Budget Statements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0B70A5" w:rsidP="00F00984">
    <w:pPr>
      <w:pStyle w:val="HeaderOdd"/>
    </w:pPr>
    <w:r>
      <w:rPr>
        <w:noProof/>
      </w:rPr>
      <mc:AlternateContent>
        <mc:Choice Requires="wps">
          <w:drawing>
            <wp:anchor distT="0" distB="0" distL="0" distR="0" simplePos="0" relativeHeight="251652608" behindDoc="0" locked="1" layoutInCell="0" allowOverlap="1" wp14:anchorId="5618F693" wp14:editId="16B8483C">
              <wp:simplePos x="0" y="0"/>
              <wp:positionH relativeFrom="margin">
                <wp:align>center</wp:align>
              </wp:positionH>
              <wp:positionV relativeFrom="page">
                <wp:posOffset>512445</wp:posOffset>
              </wp:positionV>
              <wp:extent cx="4910455" cy="615315"/>
              <wp:effectExtent l="0" t="0" r="4445" b="0"/>
              <wp:wrapSquare wrapText="bothSides"/>
              <wp:docPr id="24"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7" type="#_x0000_t202" alt="Portrait Classification Header" style="position:absolute;left:0;text-align:left;margin-left:0;margin-top:40.35pt;width:386.65pt;height:48.45pt;z-index:2516526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xUzAIAANoFAAAOAAAAZHJzL2Uyb0RvYy54bWysVG1vmzAQ/j5p/8Hyd8pLIQ2opGohbJO6&#10;rVK7H+CACdbAZrYT6Kb9951NSNNWk6ZtfLAO2/f47rnn7vJq7Fq0p1IxwVPsn3kYUV6KivFtir88&#10;FM4SI6UJr0grOE3xI1X4avX2zeXQJzQQjWgrKhGAcJUMfYobrfvEdVXZ0I6oM9FTDoe1kB3R8Cu3&#10;biXJAOhd6waet3AHIateipIqBbv5dIhXFr+uaak/17WiGrUphti0XaVdN2Z1V5ck2UrSN6w8hEH+&#10;IoqOMA6PHqFyognaSfYKqmOlFErU+qwUnSvqmpXU5gDZ+N6LbO4b0lObC5Cj+iNN6v/Blp/2dxKx&#10;KsVBiBEnHdTogY4a3YgRBecYVVSVwNedkFoSplHWEmAawiYaSo7eUwIFNDQOvUoA7b4HPD2CO8jB&#10;UqL6W1F+VYiLrCF8S6+lFEMDfpCGbzzdE9cJRxmQzfBRVBAO2WlhgcZadoZjYA0BOpTz8VhCE3IJ&#10;m2Hse2EUYVTC2cKPzv3IPkGS2buXSr+jokPGSLEEiVh0sr9V2kRDkvmKeYyLgrWtlUnLn23AxWkH&#10;3gZXc2aisFX/EXvxerlehk4YLNZO6OW5c11kobMo/IsoP8+zLPd/mnf9MGlYVVFunpkV6Id/VuFD&#10;L0zaOWpQiZZVBs6EpOR2k7US7Ql0QGG/AyEn19znYVgSIJcXKflB6N0EsVMslhdOWISRE194S8fz&#10;45t44YVxmBfPU7plnP57SmhIcRwF0SSm3+bm2e91biTpmIYZ07IuxcvjJZIYCa55ZUurCWsn+4QK&#10;E/4TFVDuudBWsEajk1r1uBltC/lWzkbNG1E9goSlAIWBTmFAgtEI+R2jAYZNitW3HZEUo/YDhzYw&#10;k2k25GxsZoPwElxTrDGazExPE2zXS7ZtAHlqNC6uoVVqZlX8FMWhwWCA2GQOw85MqNN/e+tpJK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LVncVMwCAADaBQAADgAAAAAAAAAAAAAAAAAuAgAAZHJzL2Uyb0RvYy54bWxQ&#10;SwECLQAUAAYACAAAACEAj1v8W90AAAAHAQAADwAAAAAAAAAAAAAAAAAmBQAAZHJzL2Rvd25yZXYu&#10;eG1sUEsFBgAAAAAEAAQA8wAAADAGAAAAAA==&#10;" o:allowincell="f" filled="f" stroked="f">
              <v:textbox inset="0,0,0,0">
                <w:txbxContent>
                  <w:p w:rsidR="000B70A5" w:rsidRDefault="000B70A5" w:rsidP="004461A4">
                    <w:pPr>
                      <w:pStyle w:val="Classification"/>
                    </w:pPr>
                  </w:p>
                </w:txbxContent>
              </v:textbox>
              <w10:wrap type="square" anchorx="margin" anchory="page"/>
              <w10:anchorlock/>
            </v:shape>
          </w:pict>
        </mc:Fallback>
      </mc:AlternateContent>
    </w:r>
    <w:r w:rsidR="00302100">
      <w:t>PBO</w:t>
    </w:r>
    <w:r>
      <w:t xml:space="preserve"> Budget Statements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4461A4" w:rsidRDefault="000B70A5" w:rsidP="004461A4">
    <w:pPr>
      <w:pStyle w:val="HeaderOdd"/>
    </w:pPr>
    <w:r>
      <w:rPr>
        <w:noProof/>
      </w:rPr>
      <mc:AlternateContent>
        <mc:Choice Requires="wps">
          <w:drawing>
            <wp:anchor distT="0" distB="0" distL="0" distR="0" simplePos="0" relativeHeight="251646464" behindDoc="0" locked="1" layoutInCell="0" allowOverlap="1" wp14:anchorId="3BDA1D65" wp14:editId="39A688D4">
              <wp:simplePos x="0" y="0"/>
              <wp:positionH relativeFrom="margin">
                <wp:align>center</wp:align>
              </wp:positionH>
              <wp:positionV relativeFrom="page">
                <wp:posOffset>360045</wp:posOffset>
              </wp:positionV>
              <wp:extent cx="4910455" cy="615315"/>
              <wp:effectExtent l="0" t="0" r="4445" b="0"/>
              <wp:wrapSquare wrapText="bothSides"/>
              <wp:docPr id="49" name="Text Box 4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alt="Portrait Classification Header" style="position:absolute;left:0;text-align:left;margin-left:0;margin-top:28.35pt;width:386.65pt;height:48.45pt;z-index:2516464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zHygIAANkFAAAOAAAAZHJzL2Uyb0RvYy54bWysVFFvmzAQfp+0/2D5nQKpSQMqqVoI26Ru&#10;q9TuBzhggjWwme2EdNP++84mpGmrSdM2HqzD9n3+7u67u7zady3aMaW5FCkOzwKMmChlxcUmxV8e&#10;Cm+BkTZUVLSVgqX4kWl8tXz75nLoEzaTjWwrphCACJ0MfYobY/rE93XZsI7qM9kzAYe1VB018Ks2&#10;fqXoAOhd68+CYO4PUlW9kiXTGnbz8RAvHX5ds9J8rmvNDGpTDNyMW5Vb13b1l5c02SjaN7w80KB/&#10;waKjXMCjR6icGoq2ir+C6nippJa1OStl58u65iVzMUA0YfAimvuG9szFAsnR/TFN+v/Blp92dwrx&#10;KsUkxkjQDmr0wPYG3cg9IhFGFdMl5OtOKqMoNyhrKWQaaFMDJUfvGYUC2jQOvU4A7b4HPLMHd5CD&#10;S4nub2X5VSMhs4aKDbtWSg4N+EEYofX0T1xHHG1B1sNHWQEdujXSAe1r1dkcQ9YQoEM5H48ltJRL&#10;2CRxGJAIeJdwNg+j8zByT9Bk8u6VNu+Y7JA1UqxAIg6d7m61sWxoMl2xjwlZ8LZ1MmnFsw24OO7A&#10;2+BqzywLV/UfcRCvFqsF8chsvvJIkOfedZERb16EF1F+nmdZHv6074YkaXhVMWGfmRQYkj+r8KEX&#10;Ru0cNahlyysLZylptVlnrUI7Ch1QuO+QkJNr/nMaLgkQy4uQwhkJbmaxV8wXFx4pSOTFF8HCC8L4&#10;Jp4HJCZ58TykWy7Yv4eEhhTH0SwaxfTb2AL3vY6NJh03MGNa3qV4cbxEEyvBlahcaQ3l7WifpMLS&#10;f0oFlHsqtBOs1eioVrNf710LOTVbMa9l9QgKVhIEBjKF+QhGI9V3jAaYNSnW37ZUMYzaDwK6wA6m&#10;yVCTsZ4MKkpwTbHBaDQzMw6wba/4pgHksc+EvIZOqbkT8ROLQ3/B/HCxHGadHVCn/+7W00Re/gIA&#10;AP//AwBQSwMEFAAGAAgAAAAhAKLFAtzdAAAABwEAAA8AAABkcnMvZG93bnJldi54bWxMj8FOwzAQ&#10;RO9I/IO1SNyoA1ETCHGqCsEJCZGGA0cn3iZW43WI3Tb8PcsJjqMZzbwpN4sbxQnnYD0puF0lIJA6&#10;byz1Cj6al5t7ECFqMnr0hAq+McCmurwodWH8mWo87WIvuIRCoRUMMU6FlKEb0Omw8hMSe3s/Ox1Z&#10;zr00sz5zuRvlXZJk0mlLvDDoCZ8G7A67o1Ow/aT62X69te/1vrZN85DQa3ZQ6vpq2T6CiLjEvzD8&#10;4jM6VMzU+iOZIEYFfCQqWGc5CHbzPE1BtBxbpxnIqpT/+asfAAAA//8DAFBLAQItABQABgAIAAAA&#10;IQC2gziS/gAAAOEBAAATAAAAAAAAAAAAAAAAAAAAAABbQ29udGVudF9UeXBlc10ueG1sUEsBAi0A&#10;FAAGAAgAAAAhADj9If/WAAAAlAEAAAsAAAAAAAAAAAAAAAAALwEAAF9yZWxzLy5yZWxzUEsBAi0A&#10;FAAGAAgAAAAhAJh8PMfKAgAA2QUAAA4AAAAAAAAAAAAAAAAALgIAAGRycy9lMm9Eb2MueG1sUEsB&#10;Ai0AFAAGAAgAAAAhAKLFAtzdAAAABwEAAA8AAAAAAAAAAAAAAAAAJAUAAGRycy9kb3ducmV2Lnht&#10;bFBLBQYAAAAABAAEAPMAAAAuBgAAAAA=&#10;" o:allowincell="f" filled="f" stroked="f">
              <v:textbox inset="0,0,0,0">
                <w:txbxContent>
                  <w:p w:rsidR="000B70A5" w:rsidRDefault="000B70A5" w:rsidP="004461A4">
                    <w:pPr>
                      <w:pStyle w:val="Classification"/>
                    </w:pPr>
                  </w:p>
                </w:txbxContent>
              </v:textbox>
              <w10:wrap type="square" anchorx="margin" anchory="page"/>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F00984" w:rsidRDefault="000B70A5" w:rsidP="00962F58">
    <w:pPr>
      <w:pStyle w:val="HeaderEven"/>
    </w:pPr>
    <w:r>
      <w:rPr>
        <w:noProof/>
      </w:rPr>
      <mc:AlternateContent>
        <mc:Choice Requires="wps">
          <w:drawing>
            <wp:anchor distT="0" distB="0" distL="0" distR="0" simplePos="0" relativeHeight="251650560" behindDoc="0" locked="1" layoutInCell="0" allowOverlap="1" wp14:anchorId="36B7EFAD" wp14:editId="49729D6F">
              <wp:simplePos x="0" y="0"/>
              <wp:positionH relativeFrom="margin">
                <wp:align>center</wp:align>
              </wp:positionH>
              <wp:positionV relativeFrom="page">
                <wp:posOffset>512445</wp:posOffset>
              </wp:positionV>
              <wp:extent cx="4910455" cy="615315"/>
              <wp:effectExtent l="0" t="0" r="4445" b="0"/>
              <wp:wrapSquare wrapText="bothSides"/>
              <wp:docPr id="2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8" type="#_x0000_t202" alt="Portrait Classification Header" style="position:absolute;left:0;text-align:left;margin-left:0;margin-top:40.35pt;width:386.65pt;height:48.45pt;z-index:2516505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EjzAIAANo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oNzjDjpoEcPdNToRowo8DGqqCqhXndCakmYRllLoNIQNtHQcvSeEmigKePQqwTQ7nvA0yOYAx1s&#10;SVR/K8qvCnGRNYRv6bWUYmjADtLwjaV7YjrhKAOyGT6KCsIhOy0s0FjLztQYqoYAHdr5eGyhCbmE&#10;yzD2vTCKMCrhbeFH535kXZBktu6l0u+o6JARUiyBIhad7G+VNtGQZFYxzrgoWNtamrT82QUoTjfg&#10;G0zNm4nCdv1H7MXr5XoZOmGwWDuhl+fOdZGFzqLwL6L8PM+y3P9p/Pph0rCqoty4mRnoh3/W4cMs&#10;TNw5clCJllUGzoSk5HaTtRLtCUxAYb9DQU7U3Odh2CJALi9S8oPQuwlip1gsL5ywCCMnvvCWjufH&#10;N/HCC+MwL56ndMs4/feU0JDiOAqiiUy/zc2z3+vcSNIxDTumZV2Kl0clkhgKrnllW6sJayf5pBQm&#10;/KdSQLvnRlvCGo5ObNXjZrQj5AfGvWHzRlSPQGEpgGHAU1iQIDRCfsdogGWTYvVtRyTFqP3AYQzM&#10;ZpoFOQubWSC8BNMUa4wmMdPTBtv1km0bQJ4GjYtrGJWaWRY/RXEYMFggNpnDsjMb6vTfaj2t5N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56DBI8wCAADaBQAADgAAAAAAAAAAAAAAAAAuAgAAZHJzL2Uyb0RvYy54bWxQ&#10;SwECLQAUAAYACAAAACEAj1v8W90AAAAHAQAADwAAAAAAAAAAAAAAAAAmBQAAZHJzL2Rvd25yZXYu&#10;eG1sUEsFBgAAAAAEAAQA8wAAADAGAAAAAA==&#10;" o:allowincell="f" filled="f" stroked="f">
              <v:textbox inset="0,0,0,0">
                <w:txbxContent>
                  <w:p w:rsidR="000B70A5" w:rsidRDefault="000B70A5" w:rsidP="0049200C">
                    <w:pPr>
                      <w:pStyle w:val="Classification"/>
                    </w:pPr>
                  </w:p>
                </w:txbxContent>
              </v:textbox>
              <w10:wrap type="square" anchorx="margin" anchory="page"/>
              <w10:anchorlock/>
            </v:shape>
          </w:pict>
        </mc:Fallback>
      </mc:AlternateContent>
    </w:r>
    <w:r w:rsidR="00302100">
      <w:t>PBO</w:t>
    </w:r>
    <w:r>
      <w:t xml:space="preserve"> Budget Statements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F05220" w:rsidP="004461A4">
    <w:pPr>
      <w:pStyle w:val="SecurityClassificationHeader"/>
    </w:pPr>
    <w:r>
      <w:fldChar w:fldCharType="begin"/>
    </w:r>
    <w:r>
      <w:instrText xml:space="preserve"> DOCPROPERTY SecurityClassification \* MERGEFORMAT </w:instrText>
    </w:r>
    <w:r>
      <w:fldChar w:fldCharType="separate"/>
    </w:r>
    <w:r w:rsidR="00635352">
      <w:rPr>
        <w:b w:val="0"/>
        <w:bCs/>
        <w:lang w:val="en-US"/>
      </w:rPr>
      <w:t>Error! Unknown document property name.</w:t>
    </w:r>
    <w:r>
      <w:fldChar w:fldCharType="end"/>
    </w:r>
  </w:p>
  <w:p w:rsidR="000B70A5" w:rsidRDefault="000B70A5" w:rsidP="004461A4">
    <w:pPr>
      <w:pStyle w:val="SecurityClassificationHeader"/>
    </w:pPr>
  </w:p>
  <w:p w:rsidR="000B70A5" w:rsidRDefault="000B70A5" w:rsidP="00361259">
    <w:pPr>
      <w:pStyle w:val="HeaderEven"/>
    </w:pPr>
    <w:r>
      <w:t>Index</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Default="00F05220" w:rsidP="004461A4">
    <w:pPr>
      <w:pStyle w:val="SecurityClassificationHeader"/>
    </w:pPr>
    <w:r>
      <w:fldChar w:fldCharType="begin"/>
    </w:r>
    <w:r>
      <w:instrText xml:space="preserve"> DOCPROPERTY SecurityClassification \* MERGEFORMAT </w:instrText>
    </w:r>
    <w:r>
      <w:fldChar w:fldCharType="separate"/>
    </w:r>
    <w:r w:rsidR="00635352">
      <w:rPr>
        <w:b w:val="0"/>
        <w:bCs/>
        <w:lang w:val="en-US"/>
      </w:rPr>
      <w:t>Error! Unknown document property name.</w:t>
    </w:r>
    <w:r>
      <w:fldChar w:fldCharType="end"/>
    </w:r>
  </w:p>
  <w:p w:rsidR="000B70A5" w:rsidRDefault="00407B12" w:rsidP="004461A4">
    <w:pPr>
      <w:pStyle w:val="DLMSecurityHeader"/>
    </w:pPr>
    <w:r>
      <w:fldChar w:fldCharType="begin"/>
    </w:r>
    <w:r>
      <w:instrText xml:space="preserve"> DOCPROPERTY DLMSecurityClassification \* MERGEFORMAT </w:instrText>
    </w:r>
    <w:r>
      <w:fldChar w:fldCharType="separate"/>
    </w:r>
    <w:r w:rsidR="00635352">
      <w:rPr>
        <w:b w:val="0"/>
        <w:bCs/>
        <w:lang w:val="en-US"/>
      </w:rPr>
      <w:t>Error! Unknown document property name.</w:t>
    </w:r>
    <w:r>
      <w:fldChar w:fldCharType="end"/>
    </w:r>
  </w:p>
  <w:p w:rsidR="000B70A5" w:rsidRDefault="000B70A5" w:rsidP="00361259">
    <w:pPr>
      <w:pStyle w:val="HeaderOdd"/>
    </w:pPr>
    <w:r>
      <w:t>Index</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A5" w:rsidRPr="00970E65" w:rsidRDefault="00962F58" w:rsidP="00962F58">
    <w:pPr>
      <w:pStyle w:val="HeaderOdd"/>
      <w:jc w:val="left"/>
    </w:pPr>
    <w:r>
      <w:t>PBO</w:t>
    </w:r>
    <w:r w:rsidRPr="00F00984">
      <w:t xml:space="preserve"> Budget Statements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0E1" w:rsidRDefault="007550E1" w:rsidP="007550E1">
    <w:pPr>
      <w:pStyle w:val="Header"/>
      <w:rPr>
        <w:i w:val="0"/>
        <w:lang w:val="en-AU"/>
      </w:rPr>
    </w:pPr>
    <w:r>
      <w:rPr>
        <w:noProof/>
        <w:lang w:val="en-AU" w:eastAsia="en-AU"/>
      </w:rPr>
      <w:drawing>
        <wp:inline distT="0" distB="0" distL="0" distR="0" wp14:anchorId="47A5A278" wp14:editId="3856BE0B">
          <wp:extent cx="1880382" cy="576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O Logo In Line_Black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p w:rsidR="007550E1" w:rsidRPr="006F697E" w:rsidRDefault="007550E1" w:rsidP="007550E1">
    <w:pPr>
      <w:spacing w:before="200" w:after="720" w:line="240" w:lineRule="auto"/>
      <w:ind w:left="5954"/>
      <w:jc w:val="left"/>
      <w:rPr>
        <w:i/>
      </w:rPr>
    </w:pPr>
    <w:r>
      <w:rPr>
        <w:rFonts w:ascii="Calibri" w:eastAsia="Calibri" w:hAnsi="Calibri"/>
        <w:b/>
        <w:sz w:val="19"/>
        <w:szCs w:val="19"/>
        <w:lang w:eastAsia="en-US"/>
      </w:rPr>
      <w:t>Linda Ward</w:t>
    </w:r>
    <w:r w:rsidRPr="006F697E">
      <w:rPr>
        <w:rFonts w:ascii="Calibri" w:eastAsia="Calibri" w:hAnsi="Calibri"/>
        <w:b/>
        <w:sz w:val="19"/>
        <w:szCs w:val="19"/>
        <w:lang w:eastAsia="en-US"/>
      </w:rPr>
      <w:br/>
    </w:r>
    <w:r>
      <w:rPr>
        <w:rFonts w:ascii="Calibri" w:eastAsia="Calibri" w:hAnsi="Calibri"/>
        <w:b/>
        <w:sz w:val="19"/>
        <w:szCs w:val="19"/>
        <w:lang w:eastAsia="en-US"/>
      </w:rPr>
      <w:t xml:space="preserve">Acting </w:t>
    </w:r>
    <w:r w:rsidRPr="006F697E">
      <w:rPr>
        <w:rFonts w:ascii="Calibri" w:eastAsia="Calibri" w:hAnsi="Calibri"/>
        <w:b/>
        <w:sz w:val="19"/>
        <w:szCs w:val="19"/>
        <w:lang w:eastAsia="en-US"/>
      </w:rPr>
      <w:t>Parliamentary Budget Officer</w:t>
    </w:r>
  </w:p>
  <w:p w:rsidR="000B70A5" w:rsidRPr="004461A4" w:rsidRDefault="000B70A5" w:rsidP="004461A4">
    <w:pPr>
      <w:pStyle w:val="HeaderOdd"/>
    </w:pPr>
    <w:r>
      <w:rPr>
        <w:noProof/>
      </w:rPr>
      <mc:AlternateContent>
        <mc:Choice Requires="wps">
          <w:drawing>
            <wp:anchor distT="0" distB="0" distL="0" distR="0" simplePos="0" relativeHeight="251673088" behindDoc="0" locked="1" layoutInCell="0" allowOverlap="1" wp14:anchorId="72C58DC6" wp14:editId="1FDCE6B5">
              <wp:simplePos x="0" y="0"/>
              <wp:positionH relativeFrom="margin">
                <wp:posOffset>-7620</wp:posOffset>
              </wp:positionH>
              <wp:positionV relativeFrom="page">
                <wp:posOffset>513715</wp:posOffset>
              </wp:positionV>
              <wp:extent cx="4910455" cy="615315"/>
              <wp:effectExtent l="635" t="0" r="3810" b="4445"/>
              <wp:wrapSquare wrapText="bothSides"/>
              <wp:docPr id="47" name="Text Box 10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A5" w:rsidRDefault="000B70A5"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8" type="#_x0000_t202" alt="Portrait Classification Header" style="position:absolute;left:0;text-align:left;margin-left:-.6pt;margin-top:40.45pt;width:386.65pt;height:48.45pt;z-index:25167308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XzzAIAANo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nGHHSQY8e6V6jW7FHvjfDqKKqhILdC6klYRplLYFSQ9xEQ8/Re0qgg6aOQ68SgHvoAVDvwR74&#10;YGui+jtRflWIi6whfENvpBRDA3aQh28s3RPTEUcZkPXwUVQQD9lqYYH2texMkaFsCNChn0/HHpqY&#10;S7gMY98LowijEt5mfnTpR9YFSSbrXir9jooOGSHFEjhi0cnuTmkTDUkmFeOMi4K1reVJy88uQHG8&#10;Ad9gat5MFLbtP2IvXi1Wi9AJg9nKCb08d26KLHRmhT+P8ss8y3L/p/Hrh0nDqopy42aioB/+WYsP&#10;wzCS50hCJVpWGTgTkpKbddZKtCMwAoX9DgU5UXPPw7BFgFxepOQHoXcbxE4xW8ydsAgjJ557C8fz&#10;49t45oVxmBfnKd0xTv89JTSkOI6CaCTTb3Pz7Pc6N5J0TMOSaVmX4sVRiSSGgite2dZqwtpRPimF&#10;Cf+5FNDuqdGWsIajI1v1fr23MxQY74bMa1E9AYOlAIIBTWFBgtAI+R2jAZZNitW3LZEUo/YDhykw&#10;m2kS5CSsJ4HwEkxTrDEaxUyPG2zbS7ZpAHmcMy5uYFJqZkn8HMVhvmCB2FwOy85sqNN/q/W8kpe/&#10;AAAA//8DAFBLAwQUAAYACAAAACEAYEJ/RN4AAAAJAQAADwAAAGRycy9kb3ducmV2LnhtbEyPMU/D&#10;MBCFdyT+g3VIbK2dDE0a4lQVggkJkaYDoxNfE6vxOcRuG/49ZoLx9D699125W+zIrjh740hCshbA&#10;kDqnDfUSjs3rKgfmgyKtRkco4Rs97Kr7u1IV2t2oxush9CyWkC+UhCGEqeDcdwNa5dduQorZyc1W&#10;hXjOPdezusVyO/JUiA23ylBcGNSEzwN258PFSth/Uv1ivt7bj/pUm6bZCnrbnKV8fFj2T8ACLuEP&#10;hl/9qA5VdGrdhbRno4RVkkZSQi62wGKeZWkCrI1gluXAq5L//6D6AQAA//8DAFBLAQItABQABgAI&#10;AAAAIQC2gziS/gAAAOEBAAATAAAAAAAAAAAAAAAAAAAAAABbQ29udGVudF9UeXBlc10ueG1sUEsB&#10;Ai0AFAAGAAgAAAAhADj9If/WAAAAlAEAAAsAAAAAAAAAAAAAAAAALwEAAF9yZWxzLy5yZWxzUEsB&#10;Ai0AFAAGAAgAAAAhAFWUZfPMAgAA2gUAAA4AAAAAAAAAAAAAAAAALgIAAGRycy9lMm9Eb2MueG1s&#10;UEsBAi0AFAAGAAgAAAAhAGBCf0TeAAAACQEAAA8AAAAAAAAAAAAAAAAAJgUAAGRycy9kb3ducmV2&#10;LnhtbFBLBQYAAAAABAAEAPMAAAAxBgAAAAA=&#10;" o:allowincell="f" filled="f" stroked="f">
              <v:textbox inset="0,0,0,0">
                <w:txbxContent>
                  <w:p w:rsidR="000B70A5" w:rsidRDefault="000B70A5" w:rsidP="004461A4">
                    <w:pPr>
                      <w:pStyle w:val="Classification"/>
                    </w:pPr>
                  </w:p>
                </w:txbxContent>
              </v:textbox>
              <w10:wrap type="square" anchorx="margin"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D2B" w:rsidRDefault="00F15D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B09" w:rsidRDefault="00BA4B09" w:rsidP="00BA4B09">
    <w:pPr>
      <w:pStyle w:val="Header"/>
      <w:rPr>
        <w:i w:val="0"/>
        <w:lang w:val="en-AU"/>
      </w:rPr>
    </w:pPr>
    <w:r>
      <w:rPr>
        <w:noProof/>
        <w:lang w:val="en-AU" w:eastAsia="en-AU"/>
      </w:rPr>
      <w:drawing>
        <wp:inline distT="0" distB="0" distL="0" distR="0" wp14:anchorId="1A913617" wp14:editId="4FD4D969">
          <wp:extent cx="1880382" cy="5760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O Logo In Line_Black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p w:rsidR="00BA4B09" w:rsidRPr="006F697E" w:rsidRDefault="00BA4B09" w:rsidP="00BA4B09">
    <w:pPr>
      <w:spacing w:before="200" w:after="720" w:line="240" w:lineRule="auto"/>
      <w:ind w:left="5670"/>
      <w:jc w:val="left"/>
      <w:rPr>
        <w:i/>
      </w:rPr>
    </w:pPr>
    <w:r>
      <w:rPr>
        <w:rFonts w:ascii="Calibri" w:eastAsia="Calibri" w:hAnsi="Calibri"/>
        <w:b/>
        <w:sz w:val="19"/>
        <w:szCs w:val="19"/>
        <w:lang w:eastAsia="en-US"/>
      </w:rPr>
      <w:t>Linda Ward</w:t>
    </w:r>
    <w:r w:rsidRPr="006F697E">
      <w:rPr>
        <w:rFonts w:ascii="Calibri" w:eastAsia="Calibri" w:hAnsi="Calibri"/>
        <w:b/>
        <w:sz w:val="19"/>
        <w:szCs w:val="19"/>
        <w:lang w:eastAsia="en-US"/>
      </w:rPr>
      <w:br/>
    </w:r>
    <w:r>
      <w:rPr>
        <w:rFonts w:ascii="Calibri" w:eastAsia="Calibri" w:hAnsi="Calibri"/>
        <w:b/>
        <w:sz w:val="19"/>
        <w:szCs w:val="19"/>
        <w:lang w:eastAsia="en-US"/>
      </w:rPr>
      <w:t xml:space="preserve">Acting </w:t>
    </w:r>
    <w:r w:rsidRPr="006F697E">
      <w:rPr>
        <w:rFonts w:ascii="Calibri" w:eastAsia="Calibri" w:hAnsi="Calibri"/>
        <w:b/>
        <w:sz w:val="19"/>
        <w:szCs w:val="19"/>
        <w:lang w:eastAsia="en-US"/>
      </w:rPr>
      <w:t>Parliamentary Budget Officer</w:t>
    </w:r>
  </w:p>
  <w:p w:rsidR="000A68FE" w:rsidRDefault="000A68FE">
    <w:pPr>
      <w:pStyle w:val="Header"/>
      <w:rPr>
        <w:lang w:val="en-US"/>
      </w:rPr>
    </w:pPr>
  </w:p>
  <w:p w:rsidR="00F15D2B" w:rsidRDefault="00F15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40B32"/>
    <w:multiLevelType w:val="hybridMultilevel"/>
    <w:tmpl w:val="3E627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65203"/>
    <w:multiLevelType w:val="hybridMultilevel"/>
    <w:tmpl w:val="E784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4">
    <w:nsid w:val="21737468"/>
    <w:multiLevelType w:val="hybridMultilevel"/>
    <w:tmpl w:val="CF965636"/>
    <w:lvl w:ilvl="0" w:tplc="D08C182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9">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nsid w:val="7D811CAC"/>
    <w:multiLevelType w:val="hybridMultilevel"/>
    <w:tmpl w:val="328EE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8"/>
  </w:num>
  <w:num w:numId="5">
    <w:abstractNumId w:val="12"/>
  </w:num>
  <w:num w:numId="6">
    <w:abstractNumId w:val="6"/>
  </w:num>
  <w:num w:numId="7">
    <w:abstractNumId w:val="10"/>
  </w:num>
  <w:num w:numId="8">
    <w:abstractNumId w:val="8"/>
    <w:lvlOverride w:ilvl="0">
      <w:startOverride w:val="1"/>
    </w:lvlOverride>
  </w:num>
  <w:num w:numId="9">
    <w:abstractNumId w:val="8"/>
    <w:lvlOverride w:ilvl="0">
      <w:startOverride w:val="1"/>
    </w:lvlOverride>
  </w:num>
  <w:num w:numId="10">
    <w:abstractNumId w:val="5"/>
  </w:num>
  <w:num w:numId="11">
    <w:abstractNumId w:val="0"/>
  </w:num>
  <w:num w:numId="12">
    <w:abstractNumId w:val="1"/>
  </w:num>
  <w:num w:numId="13">
    <w:abstractNumId w:val="4"/>
  </w:num>
  <w:num w:numId="14">
    <w:abstractNumId w:val="13"/>
  </w:num>
  <w:num w:numId="15">
    <w:abstractNumId w:val="8"/>
    <w:lvlOverride w:ilvl="0">
      <w:startOverride w:val="1"/>
    </w:lvlOverride>
  </w:num>
  <w:num w:numId="16">
    <w:abstractNumId w:val="8"/>
    <w:lvlOverride w:ilvl="0">
      <w:startOverride w:val="1"/>
    </w:lvlOverride>
  </w:num>
  <w:num w:numId="17">
    <w:abstractNumId w:val="8"/>
  </w:num>
  <w:num w:numId="18">
    <w:abstractNumId w:val="8"/>
  </w:num>
  <w:num w:numId="1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True"/>
  </w:docVars>
  <w:rsids>
    <w:rsidRoot w:val="0010657F"/>
    <w:rsid w:val="000000C3"/>
    <w:rsid w:val="0000358C"/>
    <w:rsid w:val="00003AC4"/>
    <w:rsid w:val="00003FFA"/>
    <w:rsid w:val="00006AE4"/>
    <w:rsid w:val="0000711B"/>
    <w:rsid w:val="0001294C"/>
    <w:rsid w:val="00012BB0"/>
    <w:rsid w:val="00013D25"/>
    <w:rsid w:val="0001438C"/>
    <w:rsid w:val="0001615A"/>
    <w:rsid w:val="00016D95"/>
    <w:rsid w:val="00017619"/>
    <w:rsid w:val="00017840"/>
    <w:rsid w:val="00020573"/>
    <w:rsid w:val="000216BF"/>
    <w:rsid w:val="00021DA6"/>
    <w:rsid w:val="000220B0"/>
    <w:rsid w:val="00023CED"/>
    <w:rsid w:val="00025CB2"/>
    <w:rsid w:val="000277D5"/>
    <w:rsid w:val="000300D7"/>
    <w:rsid w:val="000304FC"/>
    <w:rsid w:val="00030FDA"/>
    <w:rsid w:val="0003384E"/>
    <w:rsid w:val="00034C41"/>
    <w:rsid w:val="0003503B"/>
    <w:rsid w:val="00036095"/>
    <w:rsid w:val="000364F3"/>
    <w:rsid w:val="000366AE"/>
    <w:rsid w:val="000369AC"/>
    <w:rsid w:val="0003724F"/>
    <w:rsid w:val="00037BA1"/>
    <w:rsid w:val="000413D4"/>
    <w:rsid w:val="00042FDD"/>
    <w:rsid w:val="00044CF1"/>
    <w:rsid w:val="0004509D"/>
    <w:rsid w:val="00045667"/>
    <w:rsid w:val="00046A8F"/>
    <w:rsid w:val="00054A04"/>
    <w:rsid w:val="00054CC3"/>
    <w:rsid w:val="0005600E"/>
    <w:rsid w:val="00056260"/>
    <w:rsid w:val="0005722F"/>
    <w:rsid w:val="000606CB"/>
    <w:rsid w:val="00060890"/>
    <w:rsid w:val="00060A61"/>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25C0"/>
    <w:rsid w:val="00074CE6"/>
    <w:rsid w:val="000768A5"/>
    <w:rsid w:val="00077277"/>
    <w:rsid w:val="0007743A"/>
    <w:rsid w:val="00080069"/>
    <w:rsid w:val="00080125"/>
    <w:rsid w:val="00080F4F"/>
    <w:rsid w:val="00082159"/>
    <w:rsid w:val="0008449F"/>
    <w:rsid w:val="000846ED"/>
    <w:rsid w:val="00090681"/>
    <w:rsid w:val="0009165F"/>
    <w:rsid w:val="000924A7"/>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8FE"/>
    <w:rsid w:val="000A6DBE"/>
    <w:rsid w:val="000A7E1F"/>
    <w:rsid w:val="000B1FC4"/>
    <w:rsid w:val="000B21D6"/>
    <w:rsid w:val="000B2404"/>
    <w:rsid w:val="000B36D8"/>
    <w:rsid w:val="000B3B7D"/>
    <w:rsid w:val="000B6E38"/>
    <w:rsid w:val="000B70A5"/>
    <w:rsid w:val="000C056F"/>
    <w:rsid w:val="000C1442"/>
    <w:rsid w:val="000C1928"/>
    <w:rsid w:val="000C19B3"/>
    <w:rsid w:val="000C19EF"/>
    <w:rsid w:val="000C2D7D"/>
    <w:rsid w:val="000C3B86"/>
    <w:rsid w:val="000C4A46"/>
    <w:rsid w:val="000C55A6"/>
    <w:rsid w:val="000C6A39"/>
    <w:rsid w:val="000C6FB8"/>
    <w:rsid w:val="000D0547"/>
    <w:rsid w:val="000D13E5"/>
    <w:rsid w:val="000D308C"/>
    <w:rsid w:val="000D4262"/>
    <w:rsid w:val="000D43DE"/>
    <w:rsid w:val="000D55B5"/>
    <w:rsid w:val="000D58A1"/>
    <w:rsid w:val="000D7875"/>
    <w:rsid w:val="000D7E54"/>
    <w:rsid w:val="000E04C6"/>
    <w:rsid w:val="000E0A5A"/>
    <w:rsid w:val="000E0A85"/>
    <w:rsid w:val="000E2F5F"/>
    <w:rsid w:val="000E68E3"/>
    <w:rsid w:val="000E6DDB"/>
    <w:rsid w:val="000E74A6"/>
    <w:rsid w:val="000F03B1"/>
    <w:rsid w:val="000F08AE"/>
    <w:rsid w:val="000F1AAB"/>
    <w:rsid w:val="000F2D33"/>
    <w:rsid w:val="000F43F4"/>
    <w:rsid w:val="000F440E"/>
    <w:rsid w:val="000F6647"/>
    <w:rsid w:val="000F73B7"/>
    <w:rsid w:val="000F794F"/>
    <w:rsid w:val="000F7E7B"/>
    <w:rsid w:val="001002F8"/>
    <w:rsid w:val="00102654"/>
    <w:rsid w:val="001028CC"/>
    <w:rsid w:val="001045F9"/>
    <w:rsid w:val="0010472B"/>
    <w:rsid w:val="00104D46"/>
    <w:rsid w:val="00104F95"/>
    <w:rsid w:val="0010657F"/>
    <w:rsid w:val="00111159"/>
    <w:rsid w:val="00112D0F"/>
    <w:rsid w:val="001133E0"/>
    <w:rsid w:val="001135C3"/>
    <w:rsid w:val="00115DE5"/>
    <w:rsid w:val="00116191"/>
    <w:rsid w:val="001163D6"/>
    <w:rsid w:val="0011726A"/>
    <w:rsid w:val="0012022D"/>
    <w:rsid w:val="00120B5E"/>
    <w:rsid w:val="0012108F"/>
    <w:rsid w:val="00121EB0"/>
    <w:rsid w:val="0012228D"/>
    <w:rsid w:val="00123218"/>
    <w:rsid w:val="001237BA"/>
    <w:rsid w:val="00123925"/>
    <w:rsid w:val="0012540A"/>
    <w:rsid w:val="00126641"/>
    <w:rsid w:val="00126954"/>
    <w:rsid w:val="001326A4"/>
    <w:rsid w:val="00132F9E"/>
    <w:rsid w:val="00133D3A"/>
    <w:rsid w:val="001352EE"/>
    <w:rsid w:val="00135505"/>
    <w:rsid w:val="001364A7"/>
    <w:rsid w:val="00136827"/>
    <w:rsid w:val="001375D4"/>
    <w:rsid w:val="00143750"/>
    <w:rsid w:val="00143E88"/>
    <w:rsid w:val="001455D8"/>
    <w:rsid w:val="00146B5E"/>
    <w:rsid w:val="0014790A"/>
    <w:rsid w:val="00151609"/>
    <w:rsid w:val="00151ABB"/>
    <w:rsid w:val="00152B2B"/>
    <w:rsid w:val="00154447"/>
    <w:rsid w:val="001549BE"/>
    <w:rsid w:val="00154CDE"/>
    <w:rsid w:val="00154F5B"/>
    <w:rsid w:val="00161DAC"/>
    <w:rsid w:val="00162B55"/>
    <w:rsid w:val="00162D8B"/>
    <w:rsid w:val="00163101"/>
    <w:rsid w:val="001638E9"/>
    <w:rsid w:val="00165824"/>
    <w:rsid w:val="001666EA"/>
    <w:rsid w:val="00167406"/>
    <w:rsid w:val="0017111A"/>
    <w:rsid w:val="00171A85"/>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50"/>
    <w:rsid w:val="001904A5"/>
    <w:rsid w:val="001923C8"/>
    <w:rsid w:val="001939FF"/>
    <w:rsid w:val="00194DE8"/>
    <w:rsid w:val="00197990"/>
    <w:rsid w:val="001A0106"/>
    <w:rsid w:val="001A02CB"/>
    <w:rsid w:val="001A02FD"/>
    <w:rsid w:val="001A11DB"/>
    <w:rsid w:val="001A1515"/>
    <w:rsid w:val="001A33F4"/>
    <w:rsid w:val="001A53AE"/>
    <w:rsid w:val="001A6256"/>
    <w:rsid w:val="001A6F29"/>
    <w:rsid w:val="001A789B"/>
    <w:rsid w:val="001B03CC"/>
    <w:rsid w:val="001B0C75"/>
    <w:rsid w:val="001B2010"/>
    <w:rsid w:val="001B2A29"/>
    <w:rsid w:val="001B2DEE"/>
    <w:rsid w:val="001B368E"/>
    <w:rsid w:val="001B44C2"/>
    <w:rsid w:val="001B4EC1"/>
    <w:rsid w:val="001B659F"/>
    <w:rsid w:val="001B7399"/>
    <w:rsid w:val="001B7655"/>
    <w:rsid w:val="001B7BAD"/>
    <w:rsid w:val="001B7F09"/>
    <w:rsid w:val="001C1166"/>
    <w:rsid w:val="001C261E"/>
    <w:rsid w:val="001C3AC7"/>
    <w:rsid w:val="001C42D0"/>
    <w:rsid w:val="001C7B78"/>
    <w:rsid w:val="001C7FB4"/>
    <w:rsid w:val="001D0A25"/>
    <w:rsid w:val="001D0BA6"/>
    <w:rsid w:val="001D1354"/>
    <w:rsid w:val="001D1903"/>
    <w:rsid w:val="001D1942"/>
    <w:rsid w:val="001D1D2A"/>
    <w:rsid w:val="001D1DDB"/>
    <w:rsid w:val="001D53EA"/>
    <w:rsid w:val="001D6F7C"/>
    <w:rsid w:val="001E0156"/>
    <w:rsid w:val="001E12A5"/>
    <w:rsid w:val="001E1BF9"/>
    <w:rsid w:val="001E1EDB"/>
    <w:rsid w:val="001E3A18"/>
    <w:rsid w:val="001E7093"/>
    <w:rsid w:val="001E717D"/>
    <w:rsid w:val="001E71F5"/>
    <w:rsid w:val="001E7D86"/>
    <w:rsid w:val="001F377B"/>
    <w:rsid w:val="001F3CF9"/>
    <w:rsid w:val="001F55E5"/>
    <w:rsid w:val="001F5CB9"/>
    <w:rsid w:val="002003A1"/>
    <w:rsid w:val="00200DC3"/>
    <w:rsid w:val="002011E2"/>
    <w:rsid w:val="00201BB9"/>
    <w:rsid w:val="00202925"/>
    <w:rsid w:val="00202C70"/>
    <w:rsid w:val="002050B0"/>
    <w:rsid w:val="00205D80"/>
    <w:rsid w:val="0021026A"/>
    <w:rsid w:val="00210874"/>
    <w:rsid w:val="0021093F"/>
    <w:rsid w:val="00212A96"/>
    <w:rsid w:val="002133CA"/>
    <w:rsid w:val="002146B5"/>
    <w:rsid w:val="00215783"/>
    <w:rsid w:val="0021644B"/>
    <w:rsid w:val="00216489"/>
    <w:rsid w:val="00216DC9"/>
    <w:rsid w:val="00217CA0"/>
    <w:rsid w:val="002202EB"/>
    <w:rsid w:val="00220FCF"/>
    <w:rsid w:val="00221705"/>
    <w:rsid w:val="00221972"/>
    <w:rsid w:val="002231C8"/>
    <w:rsid w:val="00224154"/>
    <w:rsid w:val="00230194"/>
    <w:rsid w:val="00231923"/>
    <w:rsid w:val="002329C3"/>
    <w:rsid w:val="002332AE"/>
    <w:rsid w:val="002333C2"/>
    <w:rsid w:val="00233F2D"/>
    <w:rsid w:val="00234040"/>
    <w:rsid w:val="00235D67"/>
    <w:rsid w:val="0023626B"/>
    <w:rsid w:val="00242F07"/>
    <w:rsid w:val="00243020"/>
    <w:rsid w:val="00244D22"/>
    <w:rsid w:val="00246C09"/>
    <w:rsid w:val="002470E4"/>
    <w:rsid w:val="00247262"/>
    <w:rsid w:val="0025616B"/>
    <w:rsid w:val="002561D9"/>
    <w:rsid w:val="00257285"/>
    <w:rsid w:val="00257FF4"/>
    <w:rsid w:val="002608CE"/>
    <w:rsid w:val="00261660"/>
    <w:rsid w:val="0026279C"/>
    <w:rsid w:val="00262CD3"/>
    <w:rsid w:val="00263856"/>
    <w:rsid w:val="00264181"/>
    <w:rsid w:val="00264BB2"/>
    <w:rsid w:val="00265289"/>
    <w:rsid w:val="00266613"/>
    <w:rsid w:val="00266FE9"/>
    <w:rsid w:val="00272396"/>
    <w:rsid w:val="00273D98"/>
    <w:rsid w:val="00275A4E"/>
    <w:rsid w:val="0027614D"/>
    <w:rsid w:val="0027651A"/>
    <w:rsid w:val="002770A1"/>
    <w:rsid w:val="0028001E"/>
    <w:rsid w:val="002808A2"/>
    <w:rsid w:val="00280D53"/>
    <w:rsid w:val="00281CF6"/>
    <w:rsid w:val="00282912"/>
    <w:rsid w:val="0028359B"/>
    <w:rsid w:val="00284441"/>
    <w:rsid w:val="002857FE"/>
    <w:rsid w:val="00290933"/>
    <w:rsid w:val="00291E57"/>
    <w:rsid w:val="00292D6A"/>
    <w:rsid w:val="0029312A"/>
    <w:rsid w:val="0029325C"/>
    <w:rsid w:val="00293B2D"/>
    <w:rsid w:val="00293B46"/>
    <w:rsid w:val="00294E5F"/>
    <w:rsid w:val="002960B7"/>
    <w:rsid w:val="00297643"/>
    <w:rsid w:val="00297824"/>
    <w:rsid w:val="00297942"/>
    <w:rsid w:val="002A0F2E"/>
    <w:rsid w:val="002A153F"/>
    <w:rsid w:val="002A32FD"/>
    <w:rsid w:val="002A40DC"/>
    <w:rsid w:val="002A4534"/>
    <w:rsid w:val="002A5329"/>
    <w:rsid w:val="002A5C2D"/>
    <w:rsid w:val="002A5CB3"/>
    <w:rsid w:val="002A61E5"/>
    <w:rsid w:val="002A74DD"/>
    <w:rsid w:val="002A7FC8"/>
    <w:rsid w:val="002B0A81"/>
    <w:rsid w:val="002B1CE7"/>
    <w:rsid w:val="002B2F0F"/>
    <w:rsid w:val="002B40E0"/>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D0153"/>
    <w:rsid w:val="002D0985"/>
    <w:rsid w:val="002D403A"/>
    <w:rsid w:val="002D4262"/>
    <w:rsid w:val="002D46B7"/>
    <w:rsid w:val="002E1064"/>
    <w:rsid w:val="002E2551"/>
    <w:rsid w:val="002E323F"/>
    <w:rsid w:val="002E5554"/>
    <w:rsid w:val="002E5D24"/>
    <w:rsid w:val="002F1B12"/>
    <w:rsid w:val="002F530C"/>
    <w:rsid w:val="002F591B"/>
    <w:rsid w:val="002F7B47"/>
    <w:rsid w:val="00300013"/>
    <w:rsid w:val="0030032D"/>
    <w:rsid w:val="003006F8"/>
    <w:rsid w:val="00300BF2"/>
    <w:rsid w:val="00302100"/>
    <w:rsid w:val="003027C1"/>
    <w:rsid w:val="00302A25"/>
    <w:rsid w:val="00304900"/>
    <w:rsid w:val="00304C13"/>
    <w:rsid w:val="00305718"/>
    <w:rsid w:val="00305EC5"/>
    <w:rsid w:val="00306107"/>
    <w:rsid w:val="003077B8"/>
    <w:rsid w:val="003111F8"/>
    <w:rsid w:val="0031204A"/>
    <w:rsid w:val="0031272B"/>
    <w:rsid w:val="0031498B"/>
    <w:rsid w:val="00315435"/>
    <w:rsid w:val="0032038C"/>
    <w:rsid w:val="00321889"/>
    <w:rsid w:val="00325C5E"/>
    <w:rsid w:val="0032738E"/>
    <w:rsid w:val="00331B40"/>
    <w:rsid w:val="00331C5F"/>
    <w:rsid w:val="003325B9"/>
    <w:rsid w:val="00332E95"/>
    <w:rsid w:val="00333074"/>
    <w:rsid w:val="00333223"/>
    <w:rsid w:val="00333A43"/>
    <w:rsid w:val="00334F7E"/>
    <w:rsid w:val="003364C1"/>
    <w:rsid w:val="00337F82"/>
    <w:rsid w:val="00340640"/>
    <w:rsid w:val="00340810"/>
    <w:rsid w:val="003435D6"/>
    <w:rsid w:val="003458E0"/>
    <w:rsid w:val="00345CCD"/>
    <w:rsid w:val="003511CE"/>
    <w:rsid w:val="00351909"/>
    <w:rsid w:val="00352BE0"/>
    <w:rsid w:val="0035333E"/>
    <w:rsid w:val="003538F0"/>
    <w:rsid w:val="00357DAE"/>
    <w:rsid w:val="003602A5"/>
    <w:rsid w:val="00361259"/>
    <w:rsid w:val="00361429"/>
    <w:rsid w:val="00362AA7"/>
    <w:rsid w:val="00363B11"/>
    <w:rsid w:val="003672D6"/>
    <w:rsid w:val="003705BF"/>
    <w:rsid w:val="00370935"/>
    <w:rsid w:val="00371C1A"/>
    <w:rsid w:val="00375E52"/>
    <w:rsid w:val="00380888"/>
    <w:rsid w:val="00380D9F"/>
    <w:rsid w:val="003819E1"/>
    <w:rsid w:val="00382234"/>
    <w:rsid w:val="00384165"/>
    <w:rsid w:val="00385A6A"/>
    <w:rsid w:val="0038672F"/>
    <w:rsid w:val="00386BC9"/>
    <w:rsid w:val="00386F24"/>
    <w:rsid w:val="003876AB"/>
    <w:rsid w:val="00387957"/>
    <w:rsid w:val="0039053D"/>
    <w:rsid w:val="00392B8A"/>
    <w:rsid w:val="00392DD1"/>
    <w:rsid w:val="0039449C"/>
    <w:rsid w:val="00395E02"/>
    <w:rsid w:val="0039684C"/>
    <w:rsid w:val="003A0290"/>
    <w:rsid w:val="003A25BB"/>
    <w:rsid w:val="003A300D"/>
    <w:rsid w:val="003A3C82"/>
    <w:rsid w:val="003A3E7B"/>
    <w:rsid w:val="003A4566"/>
    <w:rsid w:val="003A7067"/>
    <w:rsid w:val="003B09F6"/>
    <w:rsid w:val="003B0D03"/>
    <w:rsid w:val="003B1F0A"/>
    <w:rsid w:val="003B2C1F"/>
    <w:rsid w:val="003B329D"/>
    <w:rsid w:val="003B3684"/>
    <w:rsid w:val="003B5533"/>
    <w:rsid w:val="003B5A85"/>
    <w:rsid w:val="003B71EE"/>
    <w:rsid w:val="003B7621"/>
    <w:rsid w:val="003B7C64"/>
    <w:rsid w:val="003C0593"/>
    <w:rsid w:val="003C13A6"/>
    <w:rsid w:val="003C1615"/>
    <w:rsid w:val="003C1EB4"/>
    <w:rsid w:val="003C2A44"/>
    <w:rsid w:val="003C4E3A"/>
    <w:rsid w:val="003D0E1C"/>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F07EE"/>
    <w:rsid w:val="003F1607"/>
    <w:rsid w:val="003F29F2"/>
    <w:rsid w:val="003F3AA9"/>
    <w:rsid w:val="003F3C77"/>
    <w:rsid w:val="003F47DF"/>
    <w:rsid w:val="003F6209"/>
    <w:rsid w:val="00401831"/>
    <w:rsid w:val="0040314A"/>
    <w:rsid w:val="00405DAB"/>
    <w:rsid w:val="00405E90"/>
    <w:rsid w:val="0040629D"/>
    <w:rsid w:val="004065CE"/>
    <w:rsid w:val="00406802"/>
    <w:rsid w:val="00407A61"/>
    <w:rsid w:val="00407B12"/>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2F8"/>
    <w:rsid w:val="00434A2F"/>
    <w:rsid w:val="0044083A"/>
    <w:rsid w:val="004408FA"/>
    <w:rsid w:val="0044552A"/>
    <w:rsid w:val="00445663"/>
    <w:rsid w:val="004461A4"/>
    <w:rsid w:val="00446612"/>
    <w:rsid w:val="00450E44"/>
    <w:rsid w:val="00451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5EAF"/>
    <w:rsid w:val="0047681C"/>
    <w:rsid w:val="004815F8"/>
    <w:rsid w:val="00481E32"/>
    <w:rsid w:val="004831ED"/>
    <w:rsid w:val="004831FC"/>
    <w:rsid w:val="004836A7"/>
    <w:rsid w:val="004847B4"/>
    <w:rsid w:val="00484921"/>
    <w:rsid w:val="00486614"/>
    <w:rsid w:val="00487E11"/>
    <w:rsid w:val="00487FB8"/>
    <w:rsid w:val="004900FE"/>
    <w:rsid w:val="004919D4"/>
    <w:rsid w:val="00491FB2"/>
    <w:rsid w:val="0049200C"/>
    <w:rsid w:val="0049212C"/>
    <w:rsid w:val="004950C6"/>
    <w:rsid w:val="00495C39"/>
    <w:rsid w:val="004975DB"/>
    <w:rsid w:val="004A1224"/>
    <w:rsid w:val="004A247B"/>
    <w:rsid w:val="004A28C5"/>
    <w:rsid w:val="004A2F59"/>
    <w:rsid w:val="004A5E53"/>
    <w:rsid w:val="004A64B4"/>
    <w:rsid w:val="004A660C"/>
    <w:rsid w:val="004A6B44"/>
    <w:rsid w:val="004A6E0E"/>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5507"/>
    <w:rsid w:val="004D0D6B"/>
    <w:rsid w:val="004D1E1A"/>
    <w:rsid w:val="004D1EFF"/>
    <w:rsid w:val="004D23A9"/>
    <w:rsid w:val="004D2683"/>
    <w:rsid w:val="004D29F5"/>
    <w:rsid w:val="004D2F90"/>
    <w:rsid w:val="004D7804"/>
    <w:rsid w:val="004E0308"/>
    <w:rsid w:val="004E2825"/>
    <w:rsid w:val="004E3079"/>
    <w:rsid w:val="004E3276"/>
    <w:rsid w:val="004E3836"/>
    <w:rsid w:val="004E62E4"/>
    <w:rsid w:val="004E7C41"/>
    <w:rsid w:val="004F0E90"/>
    <w:rsid w:val="004F0F5B"/>
    <w:rsid w:val="004F1212"/>
    <w:rsid w:val="004F22B8"/>
    <w:rsid w:val="004F2437"/>
    <w:rsid w:val="004F4624"/>
    <w:rsid w:val="004F5573"/>
    <w:rsid w:val="004F5D8B"/>
    <w:rsid w:val="004F634F"/>
    <w:rsid w:val="004F7556"/>
    <w:rsid w:val="004F78BF"/>
    <w:rsid w:val="00500700"/>
    <w:rsid w:val="0050141B"/>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4E2B"/>
    <w:rsid w:val="005150C5"/>
    <w:rsid w:val="00517351"/>
    <w:rsid w:val="00521860"/>
    <w:rsid w:val="00521D74"/>
    <w:rsid w:val="005222CC"/>
    <w:rsid w:val="00522622"/>
    <w:rsid w:val="005239F3"/>
    <w:rsid w:val="00523B5E"/>
    <w:rsid w:val="005250EE"/>
    <w:rsid w:val="00525AB1"/>
    <w:rsid w:val="00526B01"/>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40B25"/>
    <w:rsid w:val="00540D82"/>
    <w:rsid w:val="00541254"/>
    <w:rsid w:val="005421CC"/>
    <w:rsid w:val="00542BA5"/>
    <w:rsid w:val="00544841"/>
    <w:rsid w:val="00547058"/>
    <w:rsid w:val="00547CD4"/>
    <w:rsid w:val="00547E34"/>
    <w:rsid w:val="00547EB8"/>
    <w:rsid w:val="0055296E"/>
    <w:rsid w:val="00552FC2"/>
    <w:rsid w:val="00553255"/>
    <w:rsid w:val="00553DA2"/>
    <w:rsid w:val="005543FB"/>
    <w:rsid w:val="00555623"/>
    <w:rsid w:val="00556081"/>
    <w:rsid w:val="005562DC"/>
    <w:rsid w:val="00556725"/>
    <w:rsid w:val="00557A85"/>
    <w:rsid w:val="005606B5"/>
    <w:rsid w:val="00560E2D"/>
    <w:rsid w:val="00562BAD"/>
    <w:rsid w:val="0056365E"/>
    <w:rsid w:val="00565C77"/>
    <w:rsid w:val="00566181"/>
    <w:rsid w:val="005708BD"/>
    <w:rsid w:val="0057317E"/>
    <w:rsid w:val="005731D3"/>
    <w:rsid w:val="00573C7D"/>
    <w:rsid w:val="00574906"/>
    <w:rsid w:val="00574E9E"/>
    <w:rsid w:val="005752BC"/>
    <w:rsid w:val="0057622F"/>
    <w:rsid w:val="00577772"/>
    <w:rsid w:val="00577977"/>
    <w:rsid w:val="00581719"/>
    <w:rsid w:val="00581D30"/>
    <w:rsid w:val="0058259C"/>
    <w:rsid w:val="00583362"/>
    <w:rsid w:val="00584245"/>
    <w:rsid w:val="00584C2D"/>
    <w:rsid w:val="00584D80"/>
    <w:rsid w:val="00586535"/>
    <w:rsid w:val="00586BB5"/>
    <w:rsid w:val="00586DFB"/>
    <w:rsid w:val="00587C83"/>
    <w:rsid w:val="005905BC"/>
    <w:rsid w:val="005909CB"/>
    <w:rsid w:val="00590B75"/>
    <w:rsid w:val="00590DAA"/>
    <w:rsid w:val="005912B6"/>
    <w:rsid w:val="0059205C"/>
    <w:rsid w:val="00592349"/>
    <w:rsid w:val="00592D49"/>
    <w:rsid w:val="00592DE5"/>
    <w:rsid w:val="00596F3F"/>
    <w:rsid w:val="00596F9B"/>
    <w:rsid w:val="00597EEF"/>
    <w:rsid w:val="005A0F9C"/>
    <w:rsid w:val="005A1C4E"/>
    <w:rsid w:val="005A3678"/>
    <w:rsid w:val="005A3DAF"/>
    <w:rsid w:val="005A4A1A"/>
    <w:rsid w:val="005A61D3"/>
    <w:rsid w:val="005A7C0B"/>
    <w:rsid w:val="005A7E70"/>
    <w:rsid w:val="005B1A53"/>
    <w:rsid w:val="005B2AF7"/>
    <w:rsid w:val="005B40E8"/>
    <w:rsid w:val="005B6DAA"/>
    <w:rsid w:val="005B7314"/>
    <w:rsid w:val="005B7C27"/>
    <w:rsid w:val="005B7D8B"/>
    <w:rsid w:val="005C03F6"/>
    <w:rsid w:val="005C0475"/>
    <w:rsid w:val="005C1569"/>
    <w:rsid w:val="005C348A"/>
    <w:rsid w:val="005C3C1A"/>
    <w:rsid w:val="005C4604"/>
    <w:rsid w:val="005C46D8"/>
    <w:rsid w:val="005C4BEE"/>
    <w:rsid w:val="005C6E74"/>
    <w:rsid w:val="005C732E"/>
    <w:rsid w:val="005C781C"/>
    <w:rsid w:val="005D13ED"/>
    <w:rsid w:val="005D181E"/>
    <w:rsid w:val="005D330E"/>
    <w:rsid w:val="005D7A35"/>
    <w:rsid w:val="005E034F"/>
    <w:rsid w:val="005E09A7"/>
    <w:rsid w:val="005E198B"/>
    <w:rsid w:val="005E19D9"/>
    <w:rsid w:val="005E1D35"/>
    <w:rsid w:val="005E2A31"/>
    <w:rsid w:val="005E3D2F"/>
    <w:rsid w:val="005E442F"/>
    <w:rsid w:val="005E54A3"/>
    <w:rsid w:val="005E5625"/>
    <w:rsid w:val="005E61D8"/>
    <w:rsid w:val="005E6F2B"/>
    <w:rsid w:val="005E7E2C"/>
    <w:rsid w:val="005F1ADE"/>
    <w:rsid w:val="005F29CD"/>
    <w:rsid w:val="005F3175"/>
    <w:rsid w:val="005F3436"/>
    <w:rsid w:val="005F3506"/>
    <w:rsid w:val="005F41D8"/>
    <w:rsid w:val="005F4739"/>
    <w:rsid w:val="005F6228"/>
    <w:rsid w:val="005F642B"/>
    <w:rsid w:val="005F67FC"/>
    <w:rsid w:val="0060108E"/>
    <w:rsid w:val="00601630"/>
    <w:rsid w:val="00601A28"/>
    <w:rsid w:val="006026E1"/>
    <w:rsid w:val="00603A90"/>
    <w:rsid w:val="00605163"/>
    <w:rsid w:val="006065BF"/>
    <w:rsid w:val="006070EA"/>
    <w:rsid w:val="00607ABE"/>
    <w:rsid w:val="00607F53"/>
    <w:rsid w:val="00607FC8"/>
    <w:rsid w:val="006103D0"/>
    <w:rsid w:val="00610D68"/>
    <w:rsid w:val="0061103A"/>
    <w:rsid w:val="00611EAE"/>
    <w:rsid w:val="0061364A"/>
    <w:rsid w:val="00613BEA"/>
    <w:rsid w:val="0061402C"/>
    <w:rsid w:val="0061595F"/>
    <w:rsid w:val="00615A79"/>
    <w:rsid w:val="00616179"/>
    <w:rsid w:val="0061675B"/>
    <w:rsid w:val="0062052B"/>
    <w:rsid w:val="00620F8F"/>
    <w:rsid w:val="00621A86"/>
    <w:rsid w:val="00623401"/>
    <w:rsid w:val="00625C40"/>
    <w:rsid w:val="00627E7C"/>
    <w:rsid w:val="00630CFF"/>
    <w:rsid w:val="00631369"/>
    <w:rsid w:val="00632481"/>
    <w:rsid w:val="0063262D"/>
    <w:rsid w:val="0063268B"/>
    <w:rsid w:val="0063390E"/>
    <w:rsid w:val="00634673"/>
    <w:rsid w:val="00635352"/>
    <w:rsid w:val="00637BBD"/>
    <w:rsid w:val="00640161"/>
    <w:rsid w:val="00640D17"/>
    <w:rsid w:val="00641A99"/>
    <w:rsid w:val="006421F3"/>
    <w:rsid w:val="00642768"/>
    <w:rsid w:val="00642A84"/>
    <w:rsid w:val="00645E69"/>
    <w:rsid w:val="00646130"/>
    <w:rsid w:val="00646ACE"/>
    <w:rsid w:val="006474C0"/>
    <w:rsid w:val="00647927"/>
    <w:rsid w:val="00650B2D"/>
    <w:rsid w:val="00652B9B"/>
    <w:rsid w:val="00652F78"/>
    <w:rsid w:val="00653743"/>
    <w:rsid w:val="00653DD9"/>
    <w:rsid w:val="00654119"/>
    <w:rsid w:val="00654E6A"/>
    <w:rsid w:val="00654EC2"/>
    <w:rsid w:val="006551FC"/>
    <w:rsid w:val="006575F3"/>
    <w:rsid w:val="00660871"/>
    <w:rsid w:val="0066176D"/>
    <w:rsid w:val="00662809"/>
    <w:rsid w:val="00663823"/>
    <w:rsid w:val="00664E08"/>
    <w:rsid w:val="006650D0"/>
    <w:rsid w:val="0066774D"/>
    <w:rsid w:val="00667F42"/>
    <w:rsid w:val="00671284"/>
    <w:rsid w:val="006727FC"/>
    <w:rsid w:val="00673906"/>
    <w:rsid w:val="006756CD"/>
    <w:rsid w:val="00675B3A"/>
    <w:rsid w:val="00676E5B"/>
    <w:rsid w:val="00677D6B"/>
    <w:rsid w:val="00680795"/>
    <w:rsid w:val="00682713"/>
    <w:rsid w:val="00683451"/>
    <w:rsid w:val="00683579"/>
    <w:rsid w:val="006843F4"/>
    <w:rsid w:val="006854CE"/>
    <w:rsid w:val="00686B47"/>
    <w:rsid w:val="0068790B"/>
    <w:rsid w:val="006906E4"/>
    <w:rsid w:val="00691C54"/>
    <w:rsid w:val="00691E49"/>
    <w:rsid w:val="006922DC"/>
    <w:rsid w:val="006941DD"/>
    <w:rsid w:val="0069466B"/>
    <w:rsid w:val="00694795"/>
    <w:rsid w:val="00695014"/>
    <w:rsid w:val="00696AA8"/>
    <w:rsid w:val="006970DA"/>
    <w:rsid w:val="006A123A"/>
    <w:rsid w:val="006A257C"/>
    <w:rsid w:val="006A2615"/>
    <w:rsid w:val="006A4158"/>
    <w:rsid w:val="006A4AA7"/>
    <w:rsid w:val="006A4E15"/>
    <w:rsid w:val="006A5866"/>
    <w:rsid w:val="006A5DCE"/>
    <w:rsid w:val="006A5E4F"/>
    <w:rsid w:val="006A643C"/>
    <w:rsid w:val="006B0F54"/>
    <w:rsid w:val="006B12C6"/>
    <w:rsid w:val="006B415B"/>
    <w:rsid w:val="006B4C95"/>
    <w:rsid w:val="006B4CBA"/>
    <w:rsid w:val="006B6FEB"/>
    <w:rsid w:val="006B7542"/>
    <w:rsid w:val="006C0A59"/>
    <w:rsid w:val="006C19EE"/>
    <w:rsid w:val="006C2E46"/>
    <w:rsid w:val="006C3B05"/>
    <w:rsid w:val="006C4E45"/>
    <w:rsid w:val="006C5EE1"/>
    <w:rsid w:val="006C61B1"/>
    <w:rsid w:val="006C6DB8"/>
    <w:rsid w:val="006D0669"/>
    <w:rsid w:val="006D1D4E"/>
    <w:rsid w:val="006D3771"/>
    <w:rsid w:val="006D440A"/>
    <w:rsid w:val="006D5599"/>
    <w:rsid w:val="006D592F"/>
    <w:rsid w:val="006D62BE"/>
    <w:rsid w:val="006D7B71"/>
    <w:rsid w:val="006E0006"/>
    <w:rsid w:val="006E01BB"/>
    <w:rsid w:val="006E0DF6"/>
    <w:rsid w:val="006E1BDE"/>
    <w:rsid w:val="006E336C"/>
    <w:rsid w:val="006E35A9"/>
    <w:rsid w:val="006E3B9E"/>
    <w:rsid w:val="006E4A27"/>
    <w:rsid w:val="006E5828"/>
    <w:rsid w:val="006E6BB9"/>
    <w:rsid w:val="006E784F"/>
    <w:rsid w:val="006F0B4F"/>
    <w:rsid w:val="006F0E97"/>
    <w:rsid w:val="006F2DF3"/>
    <w:rsid w:val="006F2DF9"/>
    <w:rsid w:val="006F3C6F"/>
    <w:rsid w:val="006F41C6"/>
    <w:rsid w:val="006F5DD9"/>
    <w:rsid w:val="006F6FA2"/>
    <w:rsid w:val="007001D0"/>
    <w:rsid w:val="00700CE3"/>
    <w:rsid w:val="00701498"/>
    <w:rsid w:val="00701E70"/>
    <w:rsid w:val="00704C1F"/>
    <w:rsid w:val="00704F47"/>
    <w:rsid w:val="00705001"/>
    <w:rsid w:val="00705BC0"/>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935"/>
    <w:rsid w:val="00723BA8"/>
    <w:rsid w:val="00724257"/>
    <w:rsid w:val="00727815"/>
    <w:rsid w:val="007301A7"/>
    <w:rsid w:val="00730E31"/>
    <w:rsid w:val="007346F8"/>
    <w:rsid w:val="00734D66"/>
    <w:rsid w:val="00734E06"/>
    <w:rsid w:val="00736E9D"/>
    <w:rsid w:val="007373FA"/>
    <w:rsid w:val="00737E7D"/>
    <w:rsid w:val="0074063F"/>
    <w:rsid w:val="00740EF1"/>
    <w:rsid w:val="00741BF8"/>
    <w:rsid w:val="0074250E"/>
    <w:rsid w:val="007437BA"/>
    <w:rsid w:val="007444E7"/>
    <w:rsid w:val="00744DBD"/>
    <w:rsid w:val="00745398"/>
    <w:rsid w:val="00746FC3"/>
    <w:rsid w:val="00747B90"/>
    <w:rsid w:val="00754870"/>
    <w:rsid w:val="007550E1"/>
    <w:rsid w:val="007561F0"/>
    <w:rsid w:val="00756632"/>
    <w:rsid w:val="0075754A"/>
    <w:rsid w:val="00760554"/>
    <w:rsid w:val="0076083D"/>
    <w:rsid w:val="00761DC2"/>
    <w:rsid w:val="00762B1E"/>
    <w:rsid w:val="00764B94"/>
    <w:rsid w:val="007652E2"/>
    <w:rsid w:val="00765A82"/>
    <w:rsid w:val="00766434"/>
    <w:rsid w:val="00770E10"/>
    <w:rsid w:val="00771E5C"/>
    <w:rsid w:val="00772107"/>
    <w:rsid w:val="00772BA7"/>
    <w:rsid w:val="00773E30"/>
    <w:rsid w:val="007742FF"/>
    <w:rsid w:val="00774A83"/>
    <w:rsid w:val="00775146"/>
    <w:rsid w:val="0077566D"/>
    <w:rsid w:val="00776097"/>
    <w:rsid w:val="007766A5"/>
    <w:rsid w:val="00776E39"/>
    <w:rsid w:val="0078016D"/>
    <w:rsid w:val="00781778"/>
    <w:rsid w:val="00782098"/>
    <w:rsid w:val="00783D75"/>
    <w:rsid w:val="00786231"/>
    <w:rsid w:val="0079000B"/>
    <w:rsid w:val="007900CB"/>
    <w:rsid w:val="007905B2"/>
    <w:rsid w:val="00790E9B"/>
    <w:rsid w:val="007917E7"/>
    <w:rsid w:val="007927C6"/>
    <w:rsid w:val="0079348E"/>
    <w:rsid w:val="00793EEB"/>
    <w:rsid w:val="0079405B"/>
    <w:rsid w:val="00795679"/>
    <w:rsid w:val="0079797F"/>
    <w:rsid w:val="007A05F4"/>
    <w:rsid w:val="007A0BB9"/>
    <w:rsid w:val="007A14E8"/>
    <w:rsid w:val="007A1D73"/>
    <w:rsid w:val="007A4023"/>
    <w:rsid w:val="007A5445"/>
    <w:rsid w:val="007A5A94"/>
    <w:rsid w:val="007A5E11"/>
    <w:rsid w:val="007A6C47"/>
    <w:rsid w:val="007B31F7"/>
    <w:rsid w:val="007B347F"/>
    <w:rsid w:val="007B39F6"/>
    <w:rsid w:val="007B4481"/>
    <w:rsid w:val="007B5A98"/>
    <w:rsid w:val="007B5E30"/>
    <w:rsid w:val="007C1DB0"/>
    <w:rsid w:val="007C2270"/>
    <w:rsid w:val="007C27D4"/>
    <w:rsid w:val="007C32F0"/>
    <w:rsid w:val="007C4720"/>
    <w:rsid w:val="007C4CCE"/>
    <w:rsid w:val="007C570A"/>
    <w:rsid w:val="007C7D49"/>
    <w:rsid w:val="007C7DE5"/>
    <w:rsid w:val="007D0EEB"/>
    <w:rsid w:val="007D1D99"/>
    <w:rsid w:val="007D4D2A"/>
    <w:rsid w:val="007D763D"/>
    <w:rsid w:val="007D77A3"/>
    <w:rsid w:val="007E00B1"/>
    <w:rsid w:val="007E0749"/>
    <w:rsid w:val="007E2F87"/>
    <w:rsid w:val="007E334F"/>
    <w:rsid w:val="007E4155"/>
    <w:rsid w:val="007E57B5"/>
    <w:rsid w:val="007E5D39"/>
    <w:rsid w:val="007E66C8"/>
    <w:rsid w:val="007E67BD"/>
    <w:rsid w:val="007E6BBD"/>
    <w:rsid w:val="007F06E1"/>
    <w:rsid w:val="007F0C09"/>
    <w:rsid w:val="007F3E75"/>
    <w:rsid w:val="007F517F"/>
    <w:rsid w:val="007F630A"/>
    <w:rsid w:val="007F6391"/>
    <w:rsid w:val="007F6CAD"/>
    <w:rsid w:val="007F6FB8"/>
    <w:rsid w:val="007F7481"/>
    <w:rsid w:val="007F76FF"/>
    <w:rsid w:val="007F7E83"/>
    <w:rsid w:val="00801491"/>
    <w:rsid w:val="008015A7"/>
    <w:rsid w:val="00801B8F"/>
    <w:rsid w:val="00801EF6"/>
    <w:rsid w:val="00802AEC"/>
    <w:rsid w:val="00803099"/>
    <w:rsid w:val="0080406C"/>
    <w:rsid w:val="0080562C"/>
    <w:rsid w:val="008071D0"/>
    <w:rsid w:val="0081066B"/>
    <w:rsid w:val="00810809"/>
    <w:rsid w:val="00810C6A"/>
    <w:rsid w:val="00810C86"/>
    <w:rsid w:val="00812350"/>
    <w:rsid w:val="00812369"/>
    <w:rsid w:val="00812741"/>
    <w:rsid w:val="008128E3"/>
    <w:rsid w:val="00812B12"/>
    <w:rsid w:val="00815871"/>
    <w:rsid w:val="0082126A"/>
    <w:rsid w:val="00821789"/>
    <w:rsid w:val="0082180B"/>
    <w:rsid w:val="00821BC9"/>
    <w:rsid w:val="00825147"/>
    <w:rsid w:val="00825D4F"/>
    <w:rsid w:val="00830017"/>
    <w:rsid w:val="00830787"/>
    <w:rsid w:val="00830DC9"/>
    <w:rsid w:val="00831489"/>
    <w:rsid w:val="008338F4"/>
    <w:rsid w:val="00833A6A"/>
    <w:rsid w:val="00833E2F"/>
    <w:rsid w:val="00834F9A"/>
    <w:rsid w:val="008368F3"/>
    <w:rsid w:val="008400A8"/>
    <w:rsid w:val="0084156A"/>
    <w:rsid w:val="008427B1"/>
    <w:rsid w:val="008449FF"/>
    <w:rsid w:val="0084601D"/>
    <w:rsid w:val="008462FB"/>
    <w:rsid w:val="00846C73"/>
    <w:rsid w:val="00850462"/>
    <w:rsid w:val="0085161D"/>
    <w:rsid w:val="00855597"/>
    <w:rsid w:val="00855780"/>
    <w:rsid w:val="008557AA"/>
    <w:rsid w:val="00856178"/>
    <w:rsid w:val="008567C0"/>
    <w:rsid w:val="00856C69"/>
    <w:rsid w:val="008570AB"/>
    <w:rsid w:val="00862545"/>
    <w:rsid w:val="00862D62"/>
    <w:rsid w:val="00863356"/>
    <w:rsid w:val="00864544"/>
    <w:rsid w:val="008653B5"/>
    <w:rsid w:val="00865A76"/>
    <w:rsid w:val="008663D7"/>
    <w:rsid w:val="0086730B"/>
    <w:rsid w:val="008674DC"/>
    <w:rsid w:val="008679E6"/>
    <w:rsid w:val="00867A0F"/>
    <w:rsid w:val="00871811"/>
    <w:rsid w:val="00872E1F"/>
    <w:rsid w:val="00873942"/>
    <w:rsid w:val="0087400E"/>
    <w:rsid w:val="008802D4"/>
    <w:rsid w:val="00880558"/>
    <w:rsid w:val="00882ED0"/>
    <w:rsid w:val="00883894"/>
    <w:rsid w:val="00885DA2"/>
    <w:rsid w:val="00885E17"/>
    <w:rsid w:val="00886342"/>
    <w:rsid w:val="008875DE"/>
    <w:rsid w:val="0089092F"/>
    <w:rsid w:val="00891890"/>
    <w:rsid w:val="00893594"/>
    <w:rsid w:val="008947EA"/>
    <w:rsid w:val="00894ABF"/>
    <w:rsid w:val="00895FFF"/>
    <w:rsid w:val="00896FF4"/>
    <w:rsid w:val="008A0E85"/>
    <w:rsid w:val="008A15CB"/>
    <w:rsid w:val="008A1DDE"/>
    <w:rsid w:val="008A2544"/>
    <w:rsid w:val="008A34CE"/>
    <w:rsid w:val="008A371D"/>
    <w:rsid w:val="008A5443"/>
    <w:rsid w:val="008A55A8"/>
    <w:rsid w:val="008A5F01"/>
    <w:rsid w:val="008A6B66"/>
    <w:rsid w:val="008A7078"/>
    <w:rsid w:val="008B0969"/>
    <w:rsid w:val="008B11D0"/>
    <w:rsid w:val="008B32B6"/>
    <w:rsid w:val="008B4464"/>
    <w:rsid w:val="008B4BF2"/>
    <w:rsid w:val="008B56E5"/>
    <w:rsid w:val="008B5AFD"/>
    <w:rsid w:val="008B6650"/>
    <w:rsid w:val="008B729C"/>
    <w:rsid w:val="008B7A4E"/>
    <w:rsid w:val="008C1506"/>
    <w:rsid w:val="008C2258"/>
    <w:rsid w:val="008C2D30"/>
    <w:rsid w:val="008C33F2"/>
    <w:rsid w:val="008C6C92"/>
    <w:rsid w:val="008C77F7"/>
    <w:rsid w:val="008D0262"/>
    <w:rsid w:val="008D0AE4"/>
    <w:rsid w:val="008D1B0D"/>
    <w:rsid w:val="008D20E6"/>
    <w:rsid w:val="008D2F52"/>
    <w:rsid w:val="008D3E19"/>
    <w:rsid w:val="008D57A4"/>
    <w:rsid w:val="008D5F06"/>
    <w:rsid w:val="008D6B57"/>
    <w:rsid w:val="008D74C3"/>
    <w:rsid w:val="008D7DFC"/>
    <w:rsid w:val="008E00FD"/>
    <w:rsid w:val="008E07C6"/>
    <w:rsid w:val="008E152D"/>
    <w:rsid w:val="008E3214"/>
    <w:rsid w:val="008E33EA"/>
    <w:rsid w:val="008E4180"/>
    <w:rsid w:val="008E4ECE"/>
    <w:rsid w:val="008E5BB7"/>
    <w:rsid w:val="008E5F84"/>
    <w:rsid w:val="008E6A1B"/>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B9D"/>
    <w:rsid w:val="00910CFA"/>
    <w:rsid w:val="009125D2"/>
    <w:rsid w:val="00914007"/>
    <w:rsid w:val="00915E3F"/>
    <w:rsid w:val="00915F49"/>
    <w:rsid w:val="00915F97"/>
    <w:rsid w:val="009223D0"/>
    <w:rsid w:val="0092273F"/>
    <w:rsid w:val="009238F1"/>
    <w:rsid w:val="009249B4"/>
    <w:rsid w:val="00926716"/>
    <w:rsid w:val="009270DB"/>
    <w:rsid w:val="00930BEB"/>
    <w:rsid w:val="009323DF"/>
    <w:rsid w:val="00932AFC"/>
    <w:rsid w:val="0093389C"/>
    <w:rsid w:val="00933A7D"/>
    <w:rsid w:val="00933DA9"/>
    <w:rsid w:val="0093452F"/>
    <w:rsid w:val="0093491F"/>
    <w:rsid w:val="00935E14"/>
    <w:rsid w:val="00941E4F"/>
    <w:rsid w:val="00942454"/>
    <w:rsid w:val="0094480E"/>
    <w:rsid w:val="00947B5B"/>
    <w:rsid w:val="00950281"/>
    <w:rsid w:val="00951BD3"/>
    <w:rsid w:val="009529FD"/>
    <w:rsid w:val="00952B8F"/>
    <w:rsid w:val="0095569B"/>
    <w:rsid w:val="009559F2"/>
    <w:rsid w:val="009562CC"/>
    <w:rsid w:val="0095695E"/>
    <w:rsid w:val="00957310"/>
    <w:rsid w:val="0095750D"/>
    <w:rsid w:val="00962B8F"/>
    <w:rsid w:val="00962F58"/>
    <w:rsid w:val="009637E4"/>
    <w:rsid w:val="00964464"/>
    <w:rsid w:val="00965665"/>
    <w:rsid w:val="0096632E"/>
    <w:rsid w:val="00966D4F"/>
    <w:rsid w:val="00970E65"/>
    <w:rsid w:val="0097102C"/>
    <w:rsid w:val="00971CBF"/>
    <w:rsid w:val="00971F52"/>
    <w:rsid w:val="0097202E"/>
    <w:rsid w:val="00972E0B"/>
    <w:rsid w:val="0097462D"/>
    <w:rsid w:val="009748F0"/>
    <w:rsid w:val="00974A7C"/>
    <w:rsid w:val="0097587B"/>
    <w:rsid w:val="009766FE"/>
    <w:rsid w:val="00977715"/>
    <w:rsid w:val="00980439"/>
    <w:rsid w:val="00980B59"/>
    <w:rsid w:val="00982444"/>
    <w:rsid w:val="00982BA7"/>
    <w:rsid w:val="00982D92"/>
    <w:rsid w:val="00982F10"/>
    <w:rsid w:val="009834A0"/>
    <w:rsid w:val="009843A8"/>
    <w:rsid w:val="00984993"/>
    <w:rsid w:val="00984CA2"/>
    <w:rsid w:val="009854F1"/>
    <w:rsid w:val="0098714A"/>
    <w:rsid w:val="00993EA1"/>
    <w:rsid w:val="00994647"/>
    <w:rsid w:val="0099496C"/>
    <w:rsid w:val="00995100"/>
    <w:rsid w:val="00995582"/>
    <w:rsid w:val="00996569"/>
    <w:rsid w:val="009A057B"/>
    <w:rsid w:val="009A06F0"/>
    <w:rsid w:val="009A14DE"/>
    <w:rsid w:val="009A2294"/>
    <w:rsid w:val="009A40DD"/>
    <w:rsid w:val="009A5F36"/>
    <w:rsid w:val="009A6DED"/>
    <w:rsid w:val="009A72B5"/>
    <w:rsid w:val="009A74B8"/>
    <w:rsid w:val="009A7BC2"/>
    <w:rsid w:val="009B011E"/>
    <w:rsid w:val="009B180F"/>
    <w:rsid w:val="009B1897"/>
    <w:rsid w:val="009B1BB7"/>
    <w:rsid w:val="009B1C51"/>
    <w:rsid w:val="009B48D4"/>
    <w:rsid w:val="009B751B"/>
    <w:rsid w:val="009C0992"/>
    <w:rsid w:val="009C0C48"/>
    <w:rsid w:val="009C1830"/>
    <w:rsid w:val="009C23DA"/>
    <w:rsid w:val="009C24B3"/>
    <w:rsid w:val="009C2C09"/>
    <w:rsid w:val="009C2E5A"/>
    <w:rsid w:val="009C6214"/>
    <w:rsid w:val="009C672A"/>
    <w:rsid w:val="009C703A"/>
    <w:rsid w:val="009C7B18"/>
    <w:rsid w:val="009C7D55"/>
    <w:rsid w:val="009C7F52"/>
    <w:rsid w:val="009D07F2"/>
    <w:rsid w:val="009D1884"/>
    <w:rsid w:val="009D24A3"/>
    <w:rsid w:val="009D2FD6"/>
    <w:rsid w:val="009D3295"/>
    <w:rsid w:val="009D3665"/>
    <w:rsid w:val="009D3C84"/>
    <w:rsid w:val="009D40C6"/>
    <w:rsid w:val="009D54F3"/>
    <w:rsid w:val="009D6969"/>
    <w:rsid w:val="009D7470"/>
    <w:rsid w:val="009D7A58"/>
    <w:rsid w:val="009E0828"/>
    <w:rsid w:val="009E0CED"/>
    <w:rsid w:val="009E17A2"/>
    <w:rsid w:val="009E2D23"/>
    <w:rsid w:val="009E4043"/>
    <w:rsid w:val="009E43C1"/>
    <w:rsid w:val="009E54AE"/>
    <w:rsid w:val="009E6DF1"/>
    <w:rsid w:val="009E762A"/>
    <w:rsid w:val="009F3BA0"/>
    <w:rsid w:val="009F3F5D"/>
    <w:rsid w:val="009F43CB"/>
    <w:rsid w:val="009F4CB9"/>
    <w:rsid w:val="00A00283"/>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491F"/>
    <w:rsid w:val="00A279AC"/>
    <w:rsid w:val="00A27A30"/>
    <w:rsid w:val="00A30C5D"/>
    <w:rsid w:val="00A310F1"/>
    <w:rsid w:val="00A31C68"/>
    <w:rsid w:val="00A325AE"/>
    <w:rsid w:val="00A326A6"/>
    <w:rsid w:val="00A342D9"/>
    <w:rsid w:val="00A35FAA"/>
    <w:rsid w:val="00A40163"/>
    <w:rsid w:val="00A409BC"/>
    <w:rsid w:val="00A42F6D"/>
    <w:rsid w:val="00A44612"/>
    <w:rsid w:val="00A44720"/>
    <w:rsid w:val="00A46164"/>
    <w:rsid w:val="00A46A8E"/>
    <w:rsid w:val="00A51337"/>
    <w:rsid w:val="00A537E5"/>
    <w:rsid w:val="00A540A5"/>
    <w:rsid w:val="00A54248"/>
    <w:rsid w:val="00A55B6F"/>
    <w:rsid w:val="00A61BD0"/>
    <w:rsid w:val="00A6388E"/>
    <w:rsid w:val="00A64BC6"/>
    <w:rsid w:val="00A64FD7"/>
    <w:rsid w:val="00A659CB"/>
    <w:rsid w:val="00A67767"/>
    <w:rsid w:val="00A70398"/>
    <w:rsid w:val="00A709AD"/>
    <w:rsid w:val="00A70D03"/>
    <w:rsid w:val="00A71441"/>
    <w:rsid w:val="00A72DA9"/>
    <w:rsid w:val="00A733CB"/>
    <w:rsid w:val="00A739DF"/>
    <w:rsid w:val="00A740A0"/>
    <w:rsid w:val="00A751AD"/>
    <w:rsid w:val="00A76045"/>
    <w:rsid w:val="00A773CD"/>
    <w:rsid w:val="00A775CF"/>
    <w:rsid w:val="00A77853"/>
    <w:rsid w:val="00A77FAF"/>
    <w:rsid w:val="00A805EB"/>
    <w:rsid w:val="00A80C87"/>
    <w:rsid w:val="00A81EED"/>
    <w:rsid w:val="00A84503"/>
    <w:rsid w:val="00A867DA"/>
    <w:rsid w:val="00A8782F"/>
    <w:rsid w:val="00A9167D"/>
    <w:rsid w:val="00A92D25"/>
    <w:rsid w:val="00A9401F"/>
    <w:rsid w:val="00A94689"/>
    <w:rsid w:val="00A94DDB"/>
    <w:rsid w:val="00A94F82"/>
    <w:rsid w:val="00A950A1"/>
    <w:rsid w:val="00A965CD"/>
    <w:rsid w:val="00A96970"/>
    <w:rsid w:val="00AA1BEC"/>
    <w:rsid w:val="00AA27AA"/>
    <w:rsid w:val="00AA2DF3"/>
    <w:rsid w:val="00AA4761"/>
    <w:rsid w:val="00AA50BC"/>
    <w:rsid w:val="00AA6AE4"/>
    <w:rsid w:val="00AB24E7"/>
    <w:rsid w:val="00AB3237"/>
    <w:rsid w:val="00AB3917"/>
    <w:rsid w:val="00AB3A2D"/>
    <w:rsid w:val="00AB3AF4"/>
    <w:rsid w:val="00AB4AC8"/>
    <w:rsid w:val="00AB5E21"/>
    <w:rsid w:val="00AB6AD4"/>
    <w:rsid w:val="00AB75AE"/>
    <w:rsid w:val="00AB76EC"/>
    <w:rsid w:val="00AB7933"/>
    <w:rsid w:val="00AB7947"/>
    <w:rsid w:val="00AC13C9"/>
    <w:rsid w:val="00AC3071"/>
    <w:rsid w:val="00AC3A08"/>
    <w:rsid w:val="00AC3D18"/>
    <w:rsid w:val="00AC6332"/>
    <w:rsid w:val="00AD10CF"/>
    <w:rsid w:val="00AD2FC0"/>
    <w:rsid w:val="00AD3581"/>
    <w:rsid w:val="00AD35EA"/>
    <w:rsid w:val="00AD3BC7"/>
    <w:rsid w:val="00AD42E2"/>
    <w:rsid w:val="00AD4967"/>
    <w:rsid w:val="00AD562E"/>
    <w:rsid w:val="00AD5B1B"/>
    <w:rsid w:val="00AD66BE"/>
    <w:rsid w:val="00AD6DB9"/>
    <w:rsid w:val="00AE2459"/>
    <w:rsid w:val="00AE29C2"/>
    <w:rsid w:val="00AE3D23"/>
    <w:rsid w:val="00AE4CEC"/>
    <w:rsid w:val="00AE4EC8"/>
    <w:rsid w:val="00AE517C"/>
    <w:rsid w:val="00AE599E"/>
    <w:rsid w:val="00AE5D9F"/>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18"/>
    <w:rsid w:val="00B00B01"/>
    <w:rsid w:val="00B01538"/>
    <w:rsid w:val="00B01F29"/>
    <w:rsid w:val="00B04550"/>
    <w:rsid w:val="00B04964"/>
    <w:rsid w:val="00B04CBD"/>
    <w:rsid w:val="00B10605"/>
    <w:rsid w:val="00B10F95"/>
    <w:rsid w:val="00B11B0A"/>
    <w:rsid w:val="00B12331"/>
    <w:rsid w:val="00B124AD"/>
    <w:rsid w:val="00B154B3"/>
    <w:rsid w:val="00B15B71"/>
    <w:rsid w:val="00B166C6"/>
    <w:rsid w:val="00B21941"/>
    <w:rsid w:val="00B21EB4"/>
    <w:rsid w:val="00B22A5B"/>
    <w:rsid w:val="00B2691D"/>
    <w:rsid w:val="00B26C44"/>
    <w:rsid w:val="00B27820"/>
    <w:rsid w:val="00B306EA"/>
    <w:rsid w:val="00B30944"/>
    <w:rsid w:val="00B3104B"/>
    <w:rsid w:val="00B32AAC"/>
    <w:rsid w:val="00B32F81"/>
    <w:rsid w:val="00B33F4D"/>
    <w:rsid w:val="00B36CFC"/>
    <w:rsid w:val="00B37148"/>
    <w:rsid w:val="00B37AFC"/>
    <w:rsid w:val="00B4084B"/>
    <w:rsid w:val="00B41232"/>
    <w:rsid w:val="00B42B56"/>
    <w:rsid w:val="00B45864"/>
    <w:rsid w:val="00B460B5"/>
    <w:rsid w:val="00B47F4C"/>
    <w:rsid w:val="00B50032"/>
    <w:rsid w:val="00B50958"/>
    <w:rsid w:val="00B51526"/>
    <w:rsid w:val="00B567D8"/>
    <w:rsid w:val="00B60F6F"/>
    <w:rsid w:val="00B61A52"/>
    <w:rsid w:val="00B6230B"/>
    <w:rsid w:val="00B63C3C"/>
    <w:rsid w:val="00B64DE4"/>
    <w:rsid w:val="00B65561"/>
    <w:rsid w:val="00B676B8"/>
    <w:rsid w:val="00B70250"/>
    <w:rsid w:val="00B70C9E"/>
    <w:rsid w:val="00B70F85"/>
    <w:rsid w:val="00B71222"/>
    <w:rsid w:val="00B7174A"/>
    <w:rsid w:val="00B7358B"/>
    <w:rsid w:val="00B7388C"/>
    <w:rsid w:val="00B73E0D"/>
    <w:rsid w:val="00B7521F"/>
    <w:rsid w:val="00B7527B"/>
    <w:rsid w:val="00B830A1"/>
    <w:rsid w:val="00B83160"/>
    <w:rsid w:val="00B8365B"/>
    <w:rsid w:val="00B83705"/>
    <w:rsid w:val="00B83CA0"/>
    <w:rsid w:val="00B84243"/>
    <w:rsid w:val="00B85C34"/>
    <w:rsid w:val="00B86CCD"/>
    <w:rsid w:val="00B87230"/>
    <w:rsid w:val="00B876C0"/>
    <w:rsid w:val="00B87806"/>
    <w:rsid w:val="00B92B09"/>
    <w:rsid w:val="00B93774"/>
    <w:rsid w:val="00B93884"/>
    <w:rsid w:val="00B94405"/>
    <w:rsid w:val="00B94A65"/>
    <w:rsid w:val="00B94ADF"/>
    <w:rsid w:val="00B94FB4"/>
    <w:rsid w:val="00B95D2D"/>
    <w:rsid w:val="00B9607C"/>
    <w:rsid w:val="00B9676C"/>
    <w:rsid w:val="00BA0966"/>
    <w:rsid w:val="00BA0F2F"/>
    <w:rsid w:val="00BA28F3"/>
    <w:rsid w:val="00BA379F"/>
    <w:rsid w:val="00BA4B09"/>
    <w:rsid w:val="00BA6777"/>
    <w:rsid w:val="00BB2A98"/>
    <w:rsid w:val="00BB3AB5"/>
    <w:rsid w:val="00BB3DA8"/>
    <w:rsid w:val="00BB498B"/>
    <w:rsid w:val="00BB5A84"/>
    <w:rsid w:val="00BB6D23"/>
    <w:rsid w:val="00BB721D"/>
    <w:rsid w:val="00BB7455"/>
    <w:rsid w:val="00BC05A3"/>
    <w:rsid w:val="00BC2C65"/>
    <w:rsid w:val="00BC3472"/>
    <w:rsid w:val="00BC3CAB"/>
    <w:rsid w:val="00BC42CE"/>
    <w:rsid w:val="00BC6702"/>
    <w:rsid w:val="00BC76B4"/>
    <w:rsid w:val="00BD210E"/>
    <w:rsid w:val="00BD2CB2"/>
    <w:rsid w:val="00BD34C3"/>
    <w:rsid w:val="00BD40CB"/>
    <w:rsid w:val="00BD4954"/>
    <w:rsid w:val="00BD78D5"/>
    <w:rsid w:val="00BE0659"/>
    <w:rsid w:val="00BE0A68"/>
    <w:rsid w:val="00BE537C"/>
    <w:rsid w:val="00BE6D85"/>
    <w:rsid w:val="00BE70B3"/>
    <w:rsid w:val="00BE7D58"/>
    <w:rsid w:val="00BF0270"/>
    <w:rsid w:val="00BF0E14"/>
    <w:rsid w:val="00BF164E"/>
    <w:rsid w:val="00BF1A33"/>
    <w:rsid w:val="00BF23C3"/>
    <w:rsid w:val="00BF3D35"/>
    <w:rsid w:val="00BF6D42"/>
    <w:rsid w:val="00BF7ED9"/>
    <w:rsid w:val="00C00AA5"/>
    <w:rsid w:val="00C00B3B"/>
    <w:rsid w:val="00C02450"/>
    <w:rsid w:val="00C038D0"/>
    <w:rsid w:val="00C066AF"/>
    <w:rsid w:val="00C07DEC"/>
    <w:rsid w:val="00C1005F"/>
    <w:rsid w:val="00C107D2"/>
    <w:rsid w:val="00C11F05"/>
    <w:rsid w:val="00C11F2F"/>
    <w:rsid w:val="00C12D0A"/>
    <w:rsid w:val="00C13681"/>
    <w:rsid w:val="00C13DA0"/>
    <w:rsid w:val="00C15DEF"/>
    <w:rsid w:val="00C17B32"/>
    <w:rsid w:val="00C20E76"/>
    <w:rsid w:val="00C23647"/>
    <w:rsid w:val="00C2476F"/>
    <w:rsid w:val="00C2641F"/>
    <w:rsid w:val="00C276B1"/>
    <w:rsid w:val="00C3009E"/>
    <w:rsid w:val="00C31E81"/>
    <w:rsid w:val="00C3239B"/>
    <w:rsid w:val="00C3249E"/>
    <w:rsid w:val="00C3303C"/>
    <w:rsid w:val="00C3324A"/>
    <w:rsid w:val="00C342CD"/>
    <w:rsid w:val="00C34390"/>
    <w:rsid w:val="00C34C59"/>
    <w:rsid w:val="00C359BA"/>
    <w:rsid w:val="00C36775"/>
    <w:rsid w:val="00C40689"/>
    <w:rsid w:val="00C41D55"/>
    <w:rsid w:val="00C42089"/>
    <w:rsid w:val="00C428E6"/>
    <w:rsid w:val="00C42D37"/>
    <w:rsid w:val="00C431A3"/>
    <w:rsid w:val="00C43DF8"/>
    <w:rsid w:val="00C44BE3"/>
    <w:rsid w:val="00C44C1D"/>
    <w:rsid w:val="00C450A9"/>
    <w:rsid w:val="00C45903"/>
    <w:rsid w:val="00C46399"/>
    <w:rsid w:val="00C46D0E"/>
    <w:rsid w:val="00C53EF2"/>
    <w:rsid w:val="00C55846"/>
    <w:rsid w:val="00C62BF8"/>
    <w:rsid w:val="00C6305B"/>
    <w:rsid w:val="00C63109"/>
    <w:rsid w:val="00C634C3"/>
    <w:rsid w:val="00C63C1F"/>
    <w:rsid w:val="00C63ED7"/>
    <w:rsid w:val="00C66319"/>
    <w:rsid w:val="00C705DA"/>
    <w:rsid w:val="00C7356F"/>
    <w:rsid w:val="00C74126"/>
    <w:rsid w:val="00C74C39"/>
    <w:rsid w:val="00C74DA9"/>
    <w:rsid w:val="00C74E8D"/>
    <w:rsid w:val="00C753BA"/>
    <w:rsid w:val="00C7638D"/>
    <w:rsid w:val="00C763EA"/>
    <w:rsid w:val="00C77417"/>
    <w:rsid w:val="00C8049D"/>
    <w:rsid w:val="00C854F5"/>
    <w:rsid w:val="00C85E77"/>
    <w:rsid w:val="00C86D90"/>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819"/>
    <w:rsid w:val="00CA49A3"/>
    <w:rsid w:val="00CA600B"/>
    <w:rsid w:val="00CA709C"/>
    <w:rsid w:val="00CB1F59"/>
    <w:rsid w:val="00CB2844"/>
    <w:rsid w:val="00CB4589"/>
    <w:rsid w:val="00CB54F0"/>
    <w:rsid w:val="00CB60C9"/>
    <w:rsid w:val="00CB62C0"/>
    <w:rsid w:val="00CB6D24"/>
    <w:rsid w:val="00CB795F"/>
    <w:rsid w:val="00CC0486"/>
    <w:rsid w:val="00CC0B67"/>
    <w:rsid w:val="00CC2A06"/>
    <w:rsid w:val="00CC36A5"/>
    <w:rsid w:val="00CC4867"/>
    <w:rsid w:val="00CC5AB0"/>
    <w:rsid w:val="00CC6371"/>
    <w:rsid w:val="00CC6AFF"/>
    <w:rsid w:val="00CC7ED8"/>
    <w:rsid w:val="00CC7F08"/>
    <w:rsid w:val="00CD1BF3"/>
    <w:rsid w:val="00CD3382"/>
    <w:rsid w:val="00CD6D33"/>
    <w:rsid w:val="00CE0085"/>
    <w:rsid w:val="00CE0472"/>
    <w:rsid w:val="00CE179F"/>
    <w:rsid w:val="00CE2B6C"/>
    <w:rsid w:val="00CE2C1A"/>
    <w:rsid w:val="00CE3F53"/>
    <w:rsid w:val="00CE4134"/>
    <w:rsid w:val="00CE558E"/>
    <w:rsid w:val="00CE5774"/>
    <w:rsid w:val="00CE7933"/>
    <w:rsid w:val="00CF164C"/>
    <w:rsid w:val="00CF2C6F"/>
    <w:rsid w:val="00CF4131"/>
    <w:rsid w:val="00CF5085"/>
    <w:rsid w:val="00CF5FDC"/>
    <w:rsid w:val="00D00382"/>
    <w:rsid w:val="00D0086A"/>
    <w:rsid w:val="00D02C8E"/>
    <w:rsid w:val="00D02EF1"/>
    <w:rsid w:val="00D053B0"/>
    <w:rsid w:val="00D05719"/>
    <w:rsid w:val="00D07A8D"/>
    <w:rsid w:val="00D07E17"/>
    <w:rsid w:val="00D1024D"/>
    <w:rsid w:val="00D11F5B"/>
    <w:rsid w:val="00D120BF"/>
    <w:rsid w:val="00D143EC"/>
    <w:rsid w:val="00D1469B"/>
    <w:rsid w:val="00D15792"/>
    <w:rsid w:val="00D1741D"/>
    <w:rsid w:val="00D174C3"/>
    <w:rsid w:val="00D17D15"/>
    <w:rsid w:val="00D17E55"/>
    <w:rsid w:val="00D2179B"/>
    <w:rsid w:val="00D22699"/>
    <w:rsid w:val="00D2316C"/>
    <w:rsid w:val="00D232B7"/>
    <w:rsid w:val="00D23531"/>
    <w:rsid w:val="00D24D0C"/>
    <w:rsid w:val="00D24FF4"/>
    <w:rsid w:val="00D27824"/>
    <w:rsid w:val="00D30A84"/>
    <w:rsid w:val="00D30CBA"/>
    <w:rsid w:val="00D323B5"/>
    <w:rsid w:val="00D327B7"/>
    <w:rsid w:val="00D3564F"/>
    <w:rsid w:val="00D36333"/>
    <w:rsid w:val="00D37C36"/>
    <w:rsid w:val="00D40206"/>
    <w:rsid w:val="00D4187B"/>
    <w:rsid w:val="00D428B3"/>
    <w:rsid w:val="00D4339C"/>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20BB"/>
    <w:rsid w:val="00D729FE"/>
    <w:rsid w:val="00D75924"/>
    <w:rsid w:val="00D75DD0"/>
    <w:rsid w:val="00D7602E"/>
    <w:rsid w:val="00D76996"/>
    <w:rsid w:val="00D77C45"/>
    <w:rsid w:val="00D81071"/>
    <w:rsid w:val="00D82879"/>
    <w:rsid w:val="00D83B82"/>
    <w:rsid w:val="00D85D3F"/>
    <w:rsid w:val="00D87479"/>
    <w:rsid w:val="00D9150D"/>
    <w:rsid w:val="00D92B42"/>
    <w:rsid w:val="00D952A8"/>
    <w:rsid w:val="00D961F2"/>
    <w:rsid w:val="00D97687"/>
    <w:rsid w:val="00D9775E"/>
    <w:rsid w:val="00DA1610"/>
    <w:rsid w:val="00DA1A11"/>
    <w:rsid w:val="00DA1BEF"/>
    <w:rsid w:val="00DA28A8"/>
    <w:rsid w:val="00DA3143"/>
    <w:rsid w:val="00DA4EAE"/>
    <w:rsid w:val="00DA6854"/>
    <w:rsid w:val="00DA6D4F"/>
    <w:rsid w:val="00DA6FB4"/>
    <w:rsid w:val="00DA7AC3"/>
    <w:rsid w:val="00DA7B65"/>
    <w:rsid w:val="00DB10A8"/>
    <w:rsid w:val="00DB22B0"/>
    <w:rsid w:val="00DB4C98"/>
    <w:rsid w:val="00DB584E"/>
    <w:rsid w:val="00DB69D9"/>
    <w:rsid w:val="00DC16AF"/>
    <w:rsid w:val="00DC32EC"/>
    <w:rsid w:val="00DC4099"/>
    <w:rsid w:val="00DC4790"/>
    <w:rsid w:val="00DC6737"/>
    <w:rsid w:val="00DD051E"/>
    <w:rsid w:val="00DD05B3"/>
    <w:rsid w:val="00DD0BA0"/>
    <w:rsid w:val="00DD1046"/>
    <w:rsid w:val="00DD43B8"/>
    <w:rsid w:val="00DD53A9"/>
    <w:rsid w:val="00DD5856"/>
    <w:rsid w:val="00DD7B40"/>
    <w:rsid w:val="00DE117E"/>
    <w:rsid w:val="00DE1987"/>
    <w:rsid w:val="00DE1EF9"/>
    <w:rsid w:val="00DE2A7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258"/>
    <w:rsid w:val="00E0068F"/>
    <w:rsid w:val="00E01B7C"/>
    <w:rsid w:val="00E054BA"/>
    <w:rsid w:val="00E05967"/>
    <w:rsid w:val="00E06F9F"/>
    <w:rsid w:val="00E1099E"/>
    <w:rsid w:val="00E10D3F"/>
    <w:rsid w:val="00E1129E"/>
    <w:rsid w:val="00E11DA9"/>
    <w:rsid w:val="00E120DB"/>
    <w:rsid w:val="00E121DD"/>
    <w:rsid w:val="00E15A7E"/>
    <w:rsid w:val="00E160CA"/>
    <w:rsid w:val="00E1675C"/>
    <w:rsid w:val="00E16977"/>
    <w:rsid w:val="00E16BE1"/>
    <w:rsid w:val="00E17DAB"/>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35C8"/>
    <w:rsid w:val="00E37BA9"/>
    <w:rsid w:val="00E37F9B"/>
    <w:rsid w:val="00E42411"/>
    <w:rsid w:val="00E42C8A"/>
    <w:rsid w:val="00E436F2"/>
    <w:rsid w:val="00E43965"/>
    <w:rsid w:val="00E43E3B"/>
    <w:rsid w:val="00E4452C"/>
    <w:rsid w:val="00E4582E"/>
    <w:rsid w:val="00E46611"/>
    <w:rsid w:val="00E46AB8"/>
    <w:rsid w:val="00E473B3"/>
    <w:rsid w:val="00E50E8D"/>
    <w:rsid w:val="00E51F1C"/>
    <w:rsid w:val="00E53F1A"/>
    <w:rsid w:val="00E54185"/>
    <w:rsid w:val="00E5444F"/>
    <w:rsid w:val="00E55ABA"/>
    <w:rsid w:val="00E57CA7"/>
    <w:rsid w:val="00E60C7D"/>
    <w:rsid w:val="00E61C5E"/>
    <w:rsid w:val="00E61EC0"/>
    <w:rsid w:val="00E62415"/>
    <w:rsid w:val="00E62B36"/>
    <w:rsid w:val="00E62DF5"/>
    <w:rsid w:val="00E63BDC"/>
    <w:rsid w:val="00E647C8"/>
    <w:rsid w:val="00E67C82"/>
    <w:rsid w:val="00E702CE"/>
    <w:rsid w:val="00E70F0A"/>
    <w:rsid w:val="00E71844"/>
    <w:rsid w:val="00E731D7"/>
    <w:rsid w:val="00E7371B"/>
    <w:rsid w:val="00E73765"/>
    <w:rsid w:val="00E74ACE"/>
    <w:rsid w:val="00E75A0F"/>
    <w:rsid w:val="00E77C06"/>
    <w:rsid w:val="00E80F05"/>
    <w:rsid w:val="00E831F7"/>
    <w:rsid w:val="00E835D7"/>
    <w:rsid w:val="00E855E0"/>
    <w:rsid w:val="00E860B7"/>
    <w:rsid w:val="00E8780D"/>
    <w:rsid w:val="00E9221F"/>
    <w:rsid w:val="00E92644"/>
    <w:rsid w:val="00E94499"/>
    <w:rsid w:val="00E95DB8"/>
    <w:rsid w:val="00E95E3B"/>
    <w:rsid w:val="00E97527"/>
    <w:rsid w:val="00EA186C"/>
    <w:rsid w:val="00EA46A8"/>
    <w:rsid w:val="00EA5A9E"/>
    <w:rsid w:val="00EA6556"/>
    <w:rsid w:val="00EA6842"/>
    <w:rsid w:val="00EA6D25"/>
    <w:rsid w:val="00EB1B80"/>
    <w:rsid w:val="00EB4C26"/>
    <w:rsid w:val="00EB5127"/>
    <w:rsid w:val="00EB53F2"/>
    <w:rsid w:val="00EB548C"/>
    <w:rsid w:val="00EB7803"/>
    <w:rsid w:val="00EC0295"/>
    <w:rsid w:val="00EC0454"/>
    <w:rsid w:val="00EC19FA"/>
    <w:rsid w:val="00EC1F39"/>
    <w:rsid w:val="00EC2948"/>
    <w:rsid w:val="00EC2EBE"/>
    <w:rsid w:val="00EC5F86"/>
    <w:rsid w:val="00ED0940"/>
    <w:rsid w:val="00ED0C0A"/>
    <w:rsid w:val="00ED25CE"/>
    <w:rsid w:val="00ED3A55"/>
    <w:rsid w:val="00ED402C"/>
    <w:rsid w:val="00ED511B"/>
    <w:rsid w:val="00ED7DD7"/>
    <w:rsid w:val="00EE0ACF"/>
    <w:rsid w:val="00EE22E3"/>
    <w:rsid w:val="00EE2ED0"/>
    <w:rsid w:val="00EE37DE"/>
    <w:rsid w:val="00EE67C5"/>
    <w:rsid w:val="00EF18EF"/>
    <w:rsid w:val="00EF4031"/>
    <w:rsid w:val="00EF45CE"/>
    <w:rsid w:val="00EF4C71"/>
    <w:rsid w:val="00EF695C"/>
    <w:rsid w:val="00F00984"/>
    <w:rsid w:val="00F01FF7"/>
    <w:rsid w:val="00F02AA9"/>
    <w:rsid w:val="00F05220"/>
    <w:rsid w:val="00F05908"/>
    <w:rsid w:val="00F10305"/>
    <w:rsid w:val="00F1076B"/>
    <w:rsid w:val="00F10D71"/>
    <w:rsid w:val="00F11B9B"/>
    <w:rsid w:val="00F11D20"/>
    <w:rsid w:val="00F120D0"/>
    <w:rsid w:val="00F1363A"/>
    <w:rsid w:val="00F13E0D"/>
    <w:rsid w:val="00F15D2B"/>
    <w:rsid w:val="00F15DFF"/>
    <w:rsid w:val="00F175CA"/>
    <w:rsid w:val="00F20B6E"/>
    <w:rsid w:val="00F20FF5"/>
    <w:rsid w:val="00F248EC"/>
    <w:rsid w:val="00F24BCF"/>
    <w:rsid w:val="00F24C64"/>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32B"/>
    <w:rsid w:val="00F45CF2"/>
    <w:rsid w:val="00F470EA"/>
    <w:rsid w:val="00F47B25"/>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6865"/>
    <w:rsid w:val="00F66D4A"/>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673B"/>
    <w:rsid w:val="00F908F8"/>
    <w:rsid w:val="00F92442"/>
    <w:rsid w:val="00F926C8"/>
    <w:rsid w:val="00F939DB"/>
    <w:rsid w:val="00F94E8C"/>
    <w:rsid w:val="00F964B0"/>
    <w:rsid w:val="00F973F0"/>
    <w:rsid w:val="00F97B52"/>
    <w:rsid w:val="00F97D2D"/>
    <w:rsid w:val="00FA05A4"/>
    <w:rsid w:val="00FA2F87"/>
    <w:rsid w:val="00FA30C2"/>
    <w:rsid w:val="00FA31D8"/>
    <w:rsid w:val="00FA63B6"/>
    <w:rsid w:val="00FA6958"/>
    <w:rsid w:val="00FA7135"/>
    <w:rsid w:val="00FA784C"/>
    <w:rsid w:val="00FB06E1"/>
    <w:rsid w:val="00FB0CA2"/>
    <w:rsid w:val="00FB16F7"/>
    <w:rsid w:val="00FB1A25"/>
    <w:rsid w:val="00FB4A9E"/>
    <w:rsid w:val="00FB66AB"/>
    <w:rsid w:val="00FB6912"/>
    <w:rsid w:val="00FC00DD"/>
    <w:rsid w:val="00FC0A72"/>
    <w:rsid w:val="00FC1247"/>
    <w:rsid w:val="00FC13E2"/>
    <w:rsid w:val="00FC14D9"/>
    <w:rsid w:val="00FC1C66"/>
    <w:rsid w:val="00FC27D4"/>
    <w:rsid w:val="00FC3CD4"/>
    <w:rsid w:val="00FC4E2A"/>
    <w:rsid w:val="00FC6F4F"/>
    <w:rsid w:val="00FD1B30"/>
    <w:rsid w:val="00FD3D3E"/>
    <w:rsid w:val="00FD4975"/>
    <w:rsid w:val="00FD5051"/>
    <w:rsid w:val="00FD522D"/>
    <w:rsid w:val="00FD5958"/>
    <w:rsid w:val="00FD5A0F"/>
    <w:rsid w:val="00FD756D"/>
    <w:rsid w:val="00FD7972"/>
    <w:rsid w:val="00FD79EA"/>
    <w:rsid w:val="00FE059A"/>
    <w:rsid w:val="00FE0781"/>
    <w:rsid w:val="00FE2022"/>
    <w:rsid w:val="00FE29AF"/>
    <w:rsid w:val="00FE395C"/>
    <w:rsid w:val="00FE3DE9"/>
    <w:rsid w:val="00FE54AE"/>
    <w:rsid w:val="00FF1E56"/>
    <w:rsid w:val="00FF2122"/>
    <w:rsid w:val="00FF2339"/>
    <w:rsid w:val="00FF2430"/>
    <w:rsid w:val="00FF26B9"/>
    <w:rsid w:val="00FF33AA"/>
    <w:rsid w:val="00FF371D"/>
    <w:rsid w:val="00FF4B33"/>
    <w:rsid w:val="00FF4C97"/>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annotation text" w:uiPriority="99"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unhideWhenUsed="0"/>
    <w:lsdException w:name="Hyperlink" w:uiPriority="99"/>
    <w:lsdException w:name="Strong" w:semiHidden="0" w:unhideWhenUsed="0" w:qFormat="1"/>
    <w:lsdException w:name="Emphasis"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2A32FD"/>
    <w:pPr>
      <w:spacing w:after="360"/>
      <w:jc w:val="center"/>
      <w:outlineLvl w:val="0"/>
    </w:pPr>
    <w:rPr>
      <w:b/>
      <w:smallCaps/>
      <w:kern w:val="28"/>
      <w:sz w:val="34"/>
    </w:rPr>
  </w:style>
  <w:style w:type="paragraph" w:styleId="Heading2">
    <w:name w:val="heading 2"/>
    <w:basedOn w:val="HeadingBase"/>
    <w:next w:val="Normal"/>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qFormat/>
    <w:rsid w:val="00EC5F86"/>
    <w:pPr>
      <w:tabs>
        <w:tab w:val="left" w:pos="709"/>
      </w:tabs>
      <w:spacing w:before="120" w:after="120"/>
      <w:outlineLvl w:val="3"/>
    </w:pPr>
    <w:rPr>
      <w:b/>
      <w:sz w:val="22"/>
    </w:rPr>
  </w:style>
  <w:style w:type="paragraph" w:styleId="Heading5">
    <w:name w:val="heading 5"/>
    <w:basedOn w:val="HeadingBase"/>
    <w:next w:val="Normal"/>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semiHidden/>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semiHidden/>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semiHidden/>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0"/>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annotation text" w:uiPriority="99"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unhideWhenUsed="0"/>
    <w:lsdException w:name="Hyperlink" w:uiPriority="99"/>
    <w:lsdException w:name="Strong" w:semiHidden="0" w:unhideWhenUsed="0" w:qFormat="1"/>
    <w:lsdException w:name="Emphasis"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2A32FD"/>
    <w:pPr>
      <w:spacing w:after="360"/>
      <w:jc w:val="center"/>
      <w:outlineLvl w:val="0"/>
    </w:pPr>
    <w:rPr>
      <w:b/>
      <w:smallCaps/>
      <w:kern w:val="28"/>
      <w:sz w:val="34"/>
    </w:rPr>
  </w:style>
  <w:style w:type="paragraph" w:styleId="Heading2">
    <w:name w:val="heading 2"/>
    <w:basedOn w:val="HeadingBase"/>
    <w:next w:val="Normal"/>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qFormat/>
    <w:rsid w:val="00EC5F86"/>
    <w:pPr>
      <w:tabs>
        <w:tab w:val="left" w:pos="709"/>
      </w:tabs>
      <w:spacing w:before="120" w:after="120"/>
      <w:outlineLvl w:val="3"/>
    </w:pPr>
    <w:rPr>
      <w:b/>
      <w:sz w:val="22"/>
    </w:rPr>
  </w:style>
  <w:style w:type="paragraph" w:styleId="Heading5">
    <w:name w:val="heading 5"/>
    <w:basedOn w:val="HeadingBase"/>
    <w:next w:val="Normal"/>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semiHidden/>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semiHidden/>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semiHidden/>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0"/>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77592788">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52412265">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6646275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1164793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7873254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13786738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7.xml"/><Relationship Id="rId50" Type="http://schemas.openxmlformats.org/officeDocument/2006/relationships/header" Target="header24.xml"/><Relationship Id="rId55" Type="http://schemas.openxmlformats.org/officeDocument/2006/relationships/header" Target="header25.xml"/><Relationship Id="rId63" Type="http://schemas.openxmlformats.org/officeDocument/2006/relationships/image" Target="media/image11.emf"/><Relationship Id="rId68" Type="http://schemas.openxmlformats.org/officeDocument/2006/relationships/image" Target="media/image12.emf"/><Relationship Id="rId7" Type="http://schemas.openxmlformats.org/officeDocument/2006/relationships/webSettings" Target="webSettings.xml"/><Relationship Id="rId71" Type="http://schemas.openxmlformats.org/officeDocument/2006/relationships/header" Target="header33.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eader" Target="header10.xml"/><Relationship Id="rId11" Type="http://schemas.microsoft.com/office/2007/relationships/hdphoto" Target="media/hdphoto1.wdp"/><Relationship Id="rId24" Type="http://schemas.openxmlformats.org/officeDocument/2006/relationships/header" Target="header7.xml"/><Relationship Id="rId32" Type="http://schemas.openxmlformats.org/officeDocument/2006/relationships/footer" Target="footer3.xml"/><Relationship Id="rId37" Type="http://schemas.openxmlformats.org/officeDocument/2006/relationships/image" Target="media/image5.emf"/><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yperlink" Target="https://www.aph.gov.au/About_Parliament/Parliamentary_Departments/Parliamentary_Budget_Office/About_the_PBO/Corporate_information/Corporate_plans/Corporate_plan_2020-21" TargetMode="External"/><Relationship Id="rId58" Type="http://schemas.openxmlformats.org/officeDocument/2006/relationships/footer" Target="footer9.xml"/><Relationship Id="rId66" Type="http://schemas.openxmlformats.org/officeDocument/2006/relationships/footer" Target="footer10.xm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budget.gov.au" TargetMode="External"/><Relationship Id="rId36" Type="http://schemas.openxmlformats.org/officeDocument/2006/relationships/footer" Target="footer4.xml"/><Relationship Id="rId49" Type="http://schemas.openxmlformats.org/officeDocument/2006/relationships/header" Target="header23.xml"/><Relationship Id="rId57" Type="http://schemas.openxmlformats.org/officeDocument/2006/relationships/header" Target="header27.xml"/><Relationship Id="rId61" Type="http://schemas.openxmlformats.org/officeDocument/2006/relationships/image" Target="media/image9.emf"/><Relationship Id="rId10" Type="http://schemas.openxmlformats.org/officeDocument/2006/relationships/image" Target="media/image1.jpeg"/><Relationship Id="rId19" Type="http://schemas.openxmlformats.org/officeDocument/2006/relationships/hyperlink" Target="http://creativecommons.org/licenses/by/3.0/au/deed.en" TargetMode="Externa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6.emf"/><Relationship Id="rId60" Type="http://schemas.openxmlformats.org/officeDocument/2006/relationships/image" Target="media/image8.emf"/><Relationship Id="rId65" Type="http://schemas.openxmlformats.org/officeDocument/2006/relationships/header" Target="header29.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footer" Target="footer6.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28.xml"/><Relationship Id="rId69" Type="http://schemas.openxmlformats.org/officeDocument/2006/relationships/header" Target="header31.xml"/><Relationship Id="rId8" Type="http://schemas.openxmlformats.org/officeDocument/2006/relationships/footnotes" Target="footnotes.xml"/><Relationship Id="rId51" Type="http://schemas.openxmlformats.org/officeDocument/2006/relationships/footer" Target="footer8.xml"/><Relationship Id="rId72"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creativecommons.org/licenses/by/3.0/au/legalcode" TargetMode="Externa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package" Target="embeddings/Microsoft_Word_Document1.docx"/><Relationship Id="rId46" Type="http://schemas.openxmlformats.org/officeDocument/2006/relationships/header" Target="header21.xml"/><Relationship Id="rId59" Type="http://schemas.openxmlformats.org/officeDocument/2006/relationships/image" Target="media/image7.emf"/><Relationship Id="rId67" Type="http://schemas.openxmlformats.org/officeDocument/2006/relationships/header" Target="header30.xml"/><Relationship Id="rId20" Type="http://schemas.openxmlformats.org/officeDocument/2006/relationships/hyperlink" Target="http://www.pmc.gov.au/government/commonwealth-coat-arms" TargetMode="External"/><Relationship Id="rId41" Type="http://schemas.openxmlformats.org/officeDocument/2006/relationships/footer" Target="footer5.xml"/><Relationship Id="rId54" Type="http://schemas.openxmlformats.org/officeDocument/2006/relationships/hyperlink" Target="https://www.aph.gov.au/About_Parliament/Parliamentary_Departments/Parliamentary_Budget_Office/About_the_PBO/Corporate_information/Annual_reports/Annual_Report_2018-19" TargetMode="External"/><Relationship Id="rId62" Type="http://schemas.openxmlformats.org/officeDocument/2006/relationships/image" Target="media/image10.emf"/><Relationship Id="rId70"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02447DDD-E315-4F13-91B5-4BE8EAFB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2343</Words>
  <Characters>14087</Characters>
  <Application>Microsoft Office Word</Application>
  <DocSecurity>0</DocSecurity>
  <Lines>386</Lines>
  <Paragraphs>164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2020-10-06T22:31:00Z</dcterms:created>
  <dcterms:modified xsi:type="dcterms:W3CDTF">2020-10-06T22:31:00Z</dcterms:modified>
</cp:coreProperties>
</file>