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C12" w:rsidRDefault="00F326D9" w:rsidP="00666C12">
      <w:pPr>
        <w:pStyle w:val="TPHeading2"/>
        <w:spacing w:before="240"/>
        <w:rPr>
          <w:smallCaps/>
          <w:sz w:val="112"/>
          <w:szCs w:val="112"/>
        </w:rPr>
      </w:pPr>
      <w:bookmarkStart w:id="0" w:name="_GoBack"/>
      <w:bookmarkEnd w:id="0"/>
      <w:r>
        <w:rPr>
          <w:smallCaps/>
          <w:sz w:val="112"/>
          <w:szCs w:val="1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udget 2016-17 logo" style="width:179.55pt;height:212.45pt">
            <v:imagedata r:id="rId14" o:title="Budget 2016-17_stacked"/>
          </v:shape>
        </w:pict>
      </w:r>
    </w:p>
    <w:p w:rsidR="0001438C" w:rsidRPr="006906E4" w:rsidRDefault="0001438C" w:rsidP="007F7481">
      <w:pPr>
        <w:pStyle w:val="TPHeading2"/>
        <w:spacing w:before="840"/>
        <w:rPr>
          <w:rFonts w:ascii="Garamond" w:hAnsi="Garamond"/>
          <w:b/>
          <w:caps w:val="0"/>
          <w:sz w:val="36"/>
          <w:szCs w:val="36"/>
        </w:rPr>
      </w:pPr>
      <w:r w:rsidRPr="006906E4">
        <w:rPr>
          <w:rFonts w:ascii="Garamond" w:hAnsi="Garamond"/>
          <w:b/>
          <w:caps w:val="0"/>
          <w:sz w:val="36"/>
          <w:szCs w:val="36"/>
        </w:rPr>
        <w:t xml:space="preserve">Portfolio Budget Statements </w:t>
      </w:r>
      <w:r w:rsidR="00475EAF" w:rsidRPr="006906E4">
        <w:rPr>
          <w:rFonts w:ascii="Garamond" w:hAnsi="Garamond"/>
          <w:b/>
          <w:caps w:val="0"/>
          <w:sz w:val="36"/>
          <w:szCs w:val="36"/>
        </w:rPr>
        <w:t>201</w:t>
      </w:r>
      <w:r w:rsidR="00FC0A72" w:rsidRPr="006906E4">
        <w:rPr>
          <w:rFonts w:ascii="Garamond" w:hAnsi="Garamond"/>
          <w:b/>
          <w:caps w:val="0"/>
          <w:sz w:val="36"/>
          <w:szCs w:val="36"/>
        </w:rPr>
        <w:t>6</w:t>
      </w:r>
      <w:r w:rsidR="000B60E4">
        <w:rPr>
          <w:rFonts w:ascii="Garamond" w:hAnsi="Garamond"/>
          <w:b/>
          <w:caps w:val="0"/>
          <w:sz w:val="36"/>
          <w:szCs w:val="36"/>
        </w:rPr>
        <w:t>–</w:t>
      </w:r>
      <w:r w:rsidR="00475EAF" w:rsidRPr="006906E4">
        <w:rPr>
          <w:rFonts w:ascii="Garamond" w:hAnsi="Garamond"/>
          <w:b/>
          <w:caps w:val="0"/>
          <w:sz w:val="36"/>
          <w:szCs w:val="36"/>
        </w:rPr>
        <w:t>1</w:t>
      </w:r>
      <w:r w:rsidR="00FC0A72" w:rsidRPr="006906E4">
        <w:rPr>
          <w:rFonts w:ascii="Garamond" w:hAnsi="Garamond"/>
          <w:b/>
          <w:caps w:val="0"/>
          <w:sz w:val="36"/>
          <w:szCs w:val="36"/>
        </w:rPr>
        <w:t>7</w:t>
      </w:r>
    </w:p>
    <w:p w:rsidR="0001438C" w:rsidRPr="00AD4967" w:rsidRDefault="0001438C" w:rsidP="0032738E">
      <w:pPr>
        <w:pStyle w:val="TPHeading2"/>
        <w:rPr>
          <w:rFonts w:ascii="Garamond" w:hAnsi="Garamond"/>
          <w:b/>
          <w:caps w:val="0"/>
          <w:sz w:val="36"/>
          <w:szCs w:val="36"/>
        </w:rPr>
      </w:pPr>
      <w:r w:rsidRPr="006906E4">
        <w:rPr>
          <w:rFonts w:ascii="Garamond" w:hAnsi="Garamond"/>
          <w:b/>
          <w:caps w:val="0"/>
          <w:sz w:val="36"/>
          <w:szCs w:val="36"/>
        </w:rPr>
        <w:t xml:space="preserve">Budget </w:t>
      </w:r>
      <w:r w:rsidR="00A70398" w:rsidRPr="006906E4">
        <w:rPr>
          <w:rFonts w:ascii="Garamond" w:hAnsi="Garamond"/>
          <w:b/>
          <w:caps w:val="0"/>
          <w:sz w:val="36"/>
          <w:szCs w:val="36"/>
        </w:rPr>
        <w:t xml:space="preserve">Related Paper </w:t>
      </w:r>
      <w:r w:rsidRPr="006906E4">
        <w:rPr>
          <w:rFonts w:ascii="Garamond" w:hAnsi="Garamond"/>
          <w:b/>
          <w:caps w:val="0"/>
          <w:sz w:val="36"/>
          <w:szCs w:val="36"/>
        </w:rPr>
        <w:t>No. 1.</w:t>
      </w:r>
      <w:r w:rsidR="00666C12" w:rsidDel="00666C12">
        <w:rPr>
          <w:rFonts w:ascii="Garamond" w:hAnsi="Garamond"/>
          <w:b/>
          <w:caps w:val="0"/>
          <w:sz w:val="36"/>
          <w:szCs w:val="36"/>
        </w:rPr>
        <w:t xml:space="preserve"> </w:t>
      </w:r>
      <w:r w:rsidR="00A67CF5">
        <w:rPr>
          <w:rFonts w:ascii="Garamond" w:hAnsi="Garamond"/>
          <w:b/>
          <w:caps w:val="0"/>
          <w:sz w:val="36"/>
          <w:szCs w:val="36"/>
        </w:rPr>
        <w:t>17D</w:t>
      </w:r>
    </w:p>
    <w:p w:rsidR="0001438C" w:rsidRPr="00AD4967" w:rsidRDefault="00520972" w:rsidP="00AD4967">
      <w:pPr>
        <w:pStyle w:val="TPHeading2"/>
        <w:spacing w:before="240"/>
        <w:rPr>
          <w:rFonts w:ascii="Garamond" w:hAnsi="Garamond"/>
          <w:sz w:val="36"/>
          <w:szCs w:val="36"/>
        </w:rPr>
      </w:pPr>
      <w:r>
        <w:rPr>
          <w:rFonts w:ascii="Garamond" w:hAnsi="Garamond"/>
          <w:caps w:val="0"/>
          <w:sz w:val="36"/>
          <w:szCs w:val="36"/>
        </w:rPr>
        <w:t>Parliamentary Budget Office</w:t>
      </w:r>
    </w:p>
    <w:p w:rsidR="0001438C" w:rsidRDefault="0001438C" w:rsidP="00AD4967">
      <w:pPr>
        <w:spacing w:before="2400"/>
        <w:jc w:val="center"/>
      </w:pPr>
    </w:p>
    <w:p w:rsidR="0001438C" w:rsidRPr="00B30944" w:rsidRDefault="00B30944" w:rsidP="00AD4967">
      <w:pPr>
        <w:pStyle w:val="TPHeading3"/>
        <w:spacing w:before="1320"/>
        <w:jc w:val="center"/>
        <w:rPr>
          <w:rFonts w:ascii="Garamond" w:hAnsi="Garamond"/>
          <w:szCs w:val="24"/>
        </w:rPr>
      </w:pPr>
      <w:r w:rsidRPr="00B30944">
        <w:rPr>
          <w:rFonts w:ascii="Garamond" w:hAnsi="Garamond"/>
          <w:caps w:val="0"/>
          <w:szCs w:val="24"/>
        </w:rPr>
        <w:t xml:space="preserve">Budget </w:t>
      </w:r>
      <w:r w:rsidR="00D70BF5" w:rsidRPr="00B30944">
        <w:rPr>
          <w:rFonts w:ascii="Garamond" w:hAnsi="Garamond"/>
          <w:caps w:val="0"/>
          <w:szCs w:val="24"/>
        </w:rPr>
        <w:t xml:space="preserve">Initiatives </w:t>
      </w:r>
      <w:r w:rsidR="00362AA7" w:rsidRPr="00B30944">
        <w:rPr>
          <w:rFonts w:ascii="Garamond" w:hAnsi="Garamond"/>
          <w:caps w:val="0"/>
          <w:szCs w:val="24"/>
        </w:rPr>
        <w:t xml:space="preserve">and </w:t>
      </w:r>
      <w:r w:rsidR="00D70BF5" w:rsidRPr="00B30944">
        <w:rPr>
          <w:rFonts w:ascii="Garamond" w:hAnsi="Garamond"/>
          <w:caps w:val="0"/>
          <w:szCs w:val="24"/>
        </w:rPr>
        <w:t xml:space="preserve">Explanations </w:t>
      </w:r>
      <w:r w:rsidR="00362AA7" w:rsidRPr="00B30944">
        <w:rPr>
          <w:rFonts w:ascii="Garamond" w:hAnsi="Garamond"/>
          <w:caps w:val="0"/>
          <w:szCs w:val="24"/>
        </w:rPr>
        <w:t>of</w:t>
      </w:r>
    </w:p>
    <w:p w:rsidR="0001438C" w:rsidRPr="00B30944" w:rsidRDefault="00D70BF5" w:rsidP="00B30944">
      <w:pPr>
        <w:pStyle w:val="TPHeading3"/>
        <w:jc w:val="center"/>
        <w:rPr>
          <w:rFonts w:ascii="Garamond" w:hAnsi="Garamond"/>
          <w:sz w:val="22"/>
          <w:szCs w:val="22"/>
        </w:rPr>
      </w:pPr>
      <w:r w:rsidRPr="00B30944">
        <w:rPr>
          <w:rFonts w:ascii="Garamond" w:hAnsi="Garamond"/>
          <w:caps w:val="0"/>
          <w:szCs w:val="24"/>
        </w:rPr>
        <w:t xml:space="preserve">Appropriations Specified </w:t>
      </w:r>
      <w:r w:rsidR="00362AA7" w:rsidRPr="00B30944">
        <w:rPr>
          <w:rFonts w:ascii="Garamond" w:hAnsi="Garamond"/>
          <w:caps w:val="0"/>
          <w:szCs w:val="24"/>
        </w:rPr>
        <w:t xml:space="preserve">by </w:t>
      </w:r>
      <w:r w:rsidRPr="00B30944">
        <w:rPr>
          <w:rFonts w:ascii="Garamond" w:hAnsi="Garamond"/>
          <w:caps w:val="0"/>
          <w:szCs w:val="24"/>
        </w:rPr>
        <w:t>Outcomes</w:t>
      </w:r>
      <w:r w:rsidR="00666C12">
        <w:rPr>
          <w:rFonts w:ascii="Garamond" w:hAnsi="Garamond"/>
          <w:caps w:val="0"/>
          <w:szCs w:val="24"/>
        </w:rPr>
        <w:t xml:space="preserve"> </w:t>
      </w:r>
      <w:r w:rsidR="00362AA7" w:rsidRPr="00B30944">
        <w:rPr>
          <w:rFonts w:ascii="Garamond" w:hAnsi="Garamond"/>
          <w:caps w:val="0"/>
          <w:szCs w:val="24"/>
        </w:rPr>
        <w:t xml:space="preserve">and </w:t>
      </w:r>
      <w:r w:rsidR="00290933">
        <w:rPr>
          <w:rFonts w:ascii="Garamond" w:hAnsi="Garamond"/>
          <w:caps w:val="0"/>
          <w:szCs w:val="24"/>
        </w:rPr>
        <w:t>Programs</w:t>
      </w:r>
      <w:r w:rsidRPr="00B30944">
        <w:rPr>
          <w:rFonts w:ascii="Garamond" w:hAnsi="Garamond"/>
          <w:caps w:val="0"/>
          <w:szCs w:val="24"/>
        </w:rPr>
        <w:t xml:space="preserve"> </w:t>
      </w:r>
      <w:r w:rsidR="00362AA7" w:rsidRPr="00B30944">
        <w:rPr>
          <w:rFonts w:ascii="Garamond" w:hAnsi="Garamond"/>
          <w:caps w:val="0"/>
          <w:szCs w:val="24"/>
        </w:rPr>
        <w:t xml:space="preserve">by </w:t>
      </w:r>
      <w:r>
        <w:rPr>
          <w:rFonts w:ascii="Garamond" w:hAnsi="Garamond"/>
          <w:caps w:val="0"/>
          <w:szCs w:val="24"/>
        </w:rPr>
        <w:t>Entity</w:t>
      </w:r>
    </w:p>
    <w:p w:rsidR="00D50C9B" w:rsidRDefault="00D50C9B" w:rsidP="00D50C9B">
      <w:pPr>
        <w:sectPr w:rsidR="00D50C9B" w:rsidSect="0050346A">
          <w:headerReference w:type="default" r:id="rId15"/>
          <w:footerReference w:type="even" r:id="rId16"/>
          <w:footerReference w:type="default" r:id="rId17"/>
          <w:pgSz w:w="11906" w:h="16838" w:code="9"/>
          <w:pgMar w:top="2466" w:right="2098" w:bottom="2466" w:left="2098" w:header="1899" w:footer="1899" w:gutter="0"/>
          <w:cols w:space="708"/>
          <w:vAlign w:val="center"/>
          <w:titlePg/>
          <w:docGrid w:linePitch="360"/>
        </w:sectPr>
      </w:pPr>
    </w:p>
    <w:p w:rsidR="00C42D37" w:rsidRPr="00982F10" w:rsidRDefault="0012022D" w:rsidP="00C42D37">
      <w:r w:rsidRPr="00982F10">
        <w:lastRenderedPageBreak/>
        <w:t>© Commonwealth of Australia</w:t>
      </w:r>
      <w:r w:rsidR="00340640">
        <w:t xml:space="preserve"> </w:t>
      </w:r>
      <w:r w:rsidR="00FC0A72">
        <w:t>2016</w:t>
      </w:r>
    </w:p>
    <w:p w:rsidR="00C42D37" w:rsidRPr="00982F10" w:rsidRDefault="005731D3" w:rsidP="00C42D37">
      <w:r>
        <w:t>IS</w:t>
      </w:r>
      <w:r w:rsidR="00931537">
        <w:t>B</w:t>
      </w:r>
      <w:r w:rsidR="0012022D" w:rsidRPr="00982F10">
        <w:t xml:space="preserve">N </w:t>
      </w:r>
      <w:r w:rsidR="00520972" w:rsidRPr="00520972">
        <w:t>978-0-9944547-4-4</w:t>
      </w:r>
    </w:p>
    <w:p w:rsidR="00C42D37" w:rsidRPr="00FA63B6" w:rsidRDefault="0012022D" w:rsidP="006906E4">
      <w:pPr>
        <w:tabs>
          <w:tab w:val="left" w:pos="1650"/>
        </w:tabs>
        <w:spacing w:before="100" w:beforeAutospacing="1" w:after="100" w:afterAutospacing="1"/>
        <w:rPr>
          <w:rStyle w:val="A5"/>
          <w:rFonts w:ascii="Calibri" w:hAnsi="Calibri"/>
          <w:sz w:val="24"/>
          <w:szCs w:val="24"/>
        </w:rPr>
      </w:pPr>
      <w:r w:rsidRPr="00774A83">
        <w:t>This publication is available for your use under a</w:t>
      </w:r>
      <w:r w:rsidR="00D00D72">
        <w:t xml:space="preserve"> </w:t>
      </w:r>
      <w:hyperlink r:id="rId18" w:history="1">
        <w:r w:rsidR="00D00D72" w:rsidRPr="00D00D72">
          <w:rPr>
            <w:rStyle w:val="Hyperlink"/>
          </w:rPr>
          <w:t>Creative Commons BY Attribution 3.0 Australia</w:t>
        </w:r>
        <w:r w:rsidRPr="00D00D72">
          <w:rPr>
            <w:rStyle w:val="Hyperlink"/>
            <w:rFonts w:ascii="Calibri" w:hAnsi="Calibri" w:cs="Calibri"/>
            <w:sz w:val="24"/>
            <w:szCs w:val="24"/>
          </w:rPr>
          <w:t xml:space="preserve"> </w:t>
        </w:r>
        <w:r w:rsidRPr="00D00D72">
          <w:rPr>
            <w:rStyle w:val="Hyperlink"/>
          </w:rPr>
          <w:t>licence</w:t>
        </w:r>
      </w:hyperlink>
      <w:r w:rsidRPr="00774A83">
        <w:t xml:space="preserve">, with the exception of the Commonwealth Coat of Arms, the </w:t>
      </w:r>
      <w:r w:rsidR="00520972" w:rsidRPr="00524647">
        <w:t xml:space="preserve">Parliamentary Budget Office (PBO) </w:t>
      </w:r>
      <w:r w:rsidRPr="00420016">
        <w:t>l</w:t>
      </w:r>
      <w:r w:rsidRPr="00774A83">
        <w:t>ogo, photographs, images, signatures and where otherwise stated. The full licence terms are available from</w:t>
      </w:r>
      <w:r w:rsidR="00D00D72">
        <w:t xml:space="preserve"> </w:t>
      </w:r>
      <w:r w:rsidR="00D00D72" w:rsidRPr="00D00D72">
        <w:t>http://creativecommons.org/licenses/by/3.0/au/legalcode</w:t>
      </w:r>
      <w:r w:rsidRPr="00774A83">
        <w:rPr>
          <w:rStyle w:val="Hyperlink"/>
        </w:rPr>
        <w:t>.</w:t>
      </w:r>
    </w:p>
    <w:p w:rsidR="00C42D37" w:rsidRPr="00FA63B6" w:rsidRDefault="00F470EA" w:rsidP="00C42D37">
      <w:pPr>
        <w:tabs>
          <w:tab w:val="left" w:pos="1650"/>
        </w:tabs>
        <w:spacing w:before="100" w:beforeAutospacing="1" w:after="100" w:afterAutospacing="1"/>
        <w:rPr>
          <w:rFonts w:cs="Calibri"/>
        </w:rPr>
      </w:pPr>
      <w:r>
        <w:rPr>
          <w:rFonts w:cs="Calibri"/>
        </w:rPr>
        <w:pict>
          <v:shape id="_x0000_i1026" type="#_x0000_t75" alt="Creative Commons logo" style="width:83.55pt;height:28.45pt">
            <v:imagedata r:id="rId19" o:title="cc"/>
          </v:shape>
        </w:pict>
      </w:r>
    </w:p>
    <w:p w:rsidR="00C42D37" w:rsidRPr="00FA63B6" w:rsidRDefault="0012022D" w:rsidP="00C42D37">
      <w:pPr>
        <w:tabs>
          <w:tab w:val="left" w:pos="1650"/>
        </w:tabs>
        <w:spacing w:before="100" w:beforeAutospacing="1" w:after="100" w:afterAutospacing="1"/>
        <w:rPr>
          <w:sz w:val="22"/>
          <w:szCs w:val="22"/>
        </w:rPr>
      </w:pPr>
      <w:r w:rsidRPr="00774A83">
        <w:t>Use of</w:t>
      </w:r>
      <w:r w:rsidRPr="00420016">
        <w:t xml:space="preserve"> </w:t>
      </w:r>
      <w:r w:rsidR="00520972" w:rsidRPr="00524647">
        <w:t xml:space="preserve">PBO </w:t>
      </w:r>
      <w:r w:rsidRPr="00420016">
        <w:t>m</w:t>
      </w:r>
      <w:r w:rsidRPr="00774A83">
        <w:t>aterial under a</w:t>
      </w:r>
      <w:r w:rsidRPr="00774A83">
        <w:rPr>
          <w:rFonts w:cs="Calibri"/>
          <w:color w:val="000000"/>
          <w:sz w:val="24"/>
          <w:szCs w:val="24"/>
        </w:rPr>
        <w:t xml:space="preserve"> </w:t>
      </w:r>
      <w:hyperlink r:id="rId20" w:history="1">
        <w:r w:rsidRPr="00774A83">
          <w:rPr>
            <w:rStyle w:val="Hyperlink"/>
          </w:rPr>
          <w:t>Creative Commons BY Attribution 3.0 Australia</w:t>
        </w:r>
      </w:hyperlink>
      <w:r w:rsidRPr="00774A83">
        <w:rPr>
          <w:rStyle w:val="Hyperlink"/>
        </w:rPr>
        <w:t xml:space="preserve"> </w:t>
      </w:r>
      <w:r w:rsidRPr="00774A83">
        <w:t xml:space="preserve">licence requires you to attribute the work (but not in any way that suggests that the </w:t>
      </w:r>
      <w:r w:rsidR="00520972">
        <w:t>PBO</w:t>
      </w:r>
      <w:r w:rsidR="00520972" w:rsidRPr="00774A83">
        <w:t xml:space="preserve"> </w:t>
      </w:r>
      <w:r w:rsidRPr="00774A83">
        <w:t>endorses you or your use of the work).</w:t>
      </w:r>
    </w:p>
    <w:p w:rsidR="00C42D37" w:rsidRPr="00982F10" w:rsidRDefault="00520972" w:rsidP="000B60E4">
      <w:pPr>
        <w:ind w:left="709"/>
        <w:rPr>
          <w:i/>
        </w:rPr>
      </w:pPr>
      <w:r w:rsidRPr="00524647">
        <w:rPr>
          <w:i/>
        </w:rPr>
        <w:t xml:space="preserve">The PBO </w:t>
      </w:r>
      <w:r w:rsidR="0012022D" w:rsidRPr="00982F10">
        <w:rPr>
          <w:i/>
        </w:rPr>
        <w:t>material used 'as supplied'</w:t>
      </w:r>
    </w:p>
    <w:p w:rsidR="00C42D37" w:rsidRPr="00982F10" w:rsidRDefault="0012022D" w:rsidP="00C42D37">
      <w:r w:rsidRPr="00982F10">
        <w:t xml:space="preserve">Provided you have not modified or transformed </w:t>
      </w:r>
      <w:r w:rsidR="00520972">
        <w:t>PBO</w:t>
      </w:r>
      <w:r w:rsidRPr="00982F10">
        <w:t xml:space="preserve"> material in any way including, for example, by changing the </w:t>
      </w:r>
      <w:r w:rsidR="00520972">
        <w:t>PBO</w:t>
      </w:r>
      <w:r w:rsidRPr="00982F10">
        <w:t xml:space="preserve"> text; calculating percentage changes; graphing or charting data; or deriving new statistics from published </w:t>
      </w:r>
      <w:r w:rsidR="00520972">
        <w:t>PBO</w:t>
      </w:r>
      <w:r w:rsidRPr="00982F10">
        <w:t xml:space="preserve"> statistics – then </w:t>
      </w:r>
      <w:r w:rsidR="00520972">
        <w:t>the PBO</w:t>
      </w:r>
      <w:r w:rsidRPr="00982F10">
        <w:t xml:space="preserve"> prefers the following attribution:</w:t>
      </w:r>
    </w:p>
    <w:p w:rsidR="00C42D37" w:rsidRPr="00524647" w:rsidRDefault="0012022D" w:rsidP="00C42D37">
      <w:pPr>
        <w:ind w:firstLine="720"/>
        <w:rPr>
          <w:i/>
        </w:rPr>
      </w:pPr>
      <w:r w:rsidRPr="00982F10">
        <w:rPr>
          <w:i/>
        </w:rPr>
        <w:t xml:space="preserve">Source: </w:t>
      </w:r>
      <w:r w:rsidR="00D00D72">
        <w:rPr>
          <w:i/>
        </w:rPr>
        <w:t>Parliament of Australia</w:t>
      </w:r>
      <w:r w:rsidR="00FD0227">
        <w:rPr>
          <w:i/>
        </w:rPr>
        <w:t>,</w:t>
      </w:r>
      <w:r w:rsidRPr="00420016">
        <w:rPr>
          <w:i/>
          <w:iCs/>
        </w:rPr>
        <w:t> </w:t>
      </w:r>
      <w:r w:rsidR="00520972" w:rsidRPr="00524647">
        <w:rPr>
          <w:i/>
        </w:rPr>
        <w:t>Parliamentary Budget Office</w:t>
      </w:r>
    </w:p>
    <w:p w:rsidR="00C42D37" w:rsidRPr="00774A83" w:rsidRDefault="0012022D" w:rsidP="005731D3">
      <w:pPr>
        <w:spacing w:after="120"/>
        <w:rPr>
          <w:b/>
        </w:rPr>
      </w:pPr>
      <w:r w:rsidRPr="00774A83">
        <w:rPr>
          <w:b/>
        </w:rPr>
        <w:t>Derivative material</w:t>
      </w:r>
    </w:p>
    <w:p w:rsidR="00C42D37" w:rsidRPr="00982F10" w:rsidRDefault="0012022D" w:rsidP="00C42D37">
      <w:r w:rsidRPr="00982F10">
        <w:t>If you have modified or transformed</w:t>
      </w:r>
      <w:r w:rsidRPr="00420016">
        <w:t xml:space="preserve"> </w:t>
      </w:r>
      <w:r w:rsidR="00520972" w:rsidRPr="00524647">
        <w:t>PBO</w:t>
      </w:r>
      <w:r w:rsidR="00520972" w:rsidRPr="00420016">
        <w:t xml:space="preserve"> </w:t>
      </w:r>
      <w:r w:rsidRPr="00982F10">
        <w:t xml:space="preserve">material, or derived new material from those of the </w:t>
      </w:r>
      <w:r w:rsidR="00520972" w:rsidRPr="00524647">
        <w:t>PBO</w:t>
      </w:r>
      <w:r w:rsidR="00520972" w:rsidRPr="00420016">
        <w:t xml:space="preserve"> </w:t>
      </w:r>
      <w:r w:rsidRPr="00982F10">
        <w:t>in any way, then</w:t>
      </w:r>
      <w:r w:rsidRPr="00420016">
        <w:t xml:space="preserve"> </w:t>
      </w:r>
      <w:r w:rsidR="00520972" w:rsidRPr="00524647">
        <w:t>the PBO</w:t>
      </w:r>
      <w:r w:rsidR="00520972" w:rsidRPr="00982F10">
        <w:t xml:space="preserve"> </w:t>
      </w:r>
      <w:r w:rsidRPr="00982F10">
        <w:t>prefers the following attribution:</w:t>
      </w:r>
    </w:p>
    <w:p w:rsidR="00C42D37" w:rsidRPr="00524647" w:rsidRDefault="0012022D" w:rsidP="00C42D37">
      <w:pPr>
        <w:ind w:firstLine="720"/>
      </w:pPr>
      <w:r w:rsidRPr="00982F10">
        <w:rPr>
          <w:i/>
        </w:rPr>
        <w:t xml:space="preserve">Based on </w:t>
      </w:r>
      <w:r w:rsidR="00D00D72">
        <w:rPr>
          <w:i/>
        </w:rPr>
        <w:t>Parliament of Australia</w:t>
      </w:r>
      <w:r w:rsidR="00FD0227">
        <w:rPr>
          <w:i/>
        </w:rPr>
        <w:t>, </w:t>
      </w:r>
      <w:r w:rsidR="00520972">
        <w:rPr>
          <w:i/>
        </w:rPr>
        <w:t>Parliamentary Budget Office</w:t>
      </w:r>
      <w:r w:rsidR="00520972" w:rsidRPr="00982F10">
        <w:rPr>
          <w:i/>
        </w:rPr>
        <w:t xml:space="preserve"> </w:t>
      </w:r>
      <w:r w:rsidRPr="00982F10">
        <w:rPr>
          <w:i/>
        </w:rPr>
        <w:t>data</w:t>
      </w:r>
    </w:p>
    <w:p w:rsidR="00C42D37" w:rsidRPr="00982F10" w:rsidRDefault="0012022D" w:rsidP="005731D3">
      <w:pPr>
        <w:spacing w:after="120"/>
        <w:rPr>
          <w:b/>
        </w:rPr>
      </w:pPr>
      <w:r w:rsidRPr="00982F10">
        <w:rPr>
          <w:b/>
        </w:rPr>
        <w:t>Use of the Coat of Arms</w:t>
      </w:r>
    </w:p>
    <w:p w:rsidR="00C42D37" w:rsidRPr="00982F10" w:rsidRDefault="0012022D" w:rsidP="00C42D37">
      <w:r w:rsidRPr="00982F10">
        <w:t xml:space="preserve">The terms under which the Coat of Arms can be used are set out on the It’s an Honour website (see </w:t>
      </w:r>
      <w:hyperlink r:id="rId21" w:history="1">
        <w:r w:rsidRPr="00982F10">
          <w:rPr>
            <w:rStyle w:val="Hyperlink"/>
          </w:rPr>
          <w:t>www.itsanhonour.gov.au</w:t>
        </w:r>
      </w:hyperlink>
      <w:r w:rsidRPr="00982F10">
        <w:t>)</w:t>
      </w:r>
    </w:p>
    <w:p w:rsidR="00C42D37" w:rsidRPr="00982F10" w:rsidRDefault="008E07C6" w:rsidP="005731D3">
      <w:pPr>
        <w:spacing w:after="120"/>
        <w:rPr>
          <w:b/>
        </w:rPr>
      </w:pPr>
      <w:r>
        <w:rPr>
          <w:b/>
        </w:rPr>
        <w:t xml:space="preserve">Other </w:t>
      </w:r>
      <w:r w:rsidR="00D81071">
        <w:rPr>
          <w:b/>
        </w:rPr>
        <w:t>u</w:t>
      </w:r>
      <w:r w:rsidR="00D81071" w:rsidRPr="00982F10">
        <w:rPr>
          <w:b/>
        </w:rPr>
        <w:t>ses</w:t>
      </w:r>
    </w:p>
    <w:p w:rsidR="00C42D37" w:rsidRPr="00982F10" w:rsidRDefault="00EE22E3" w:rsidP="00C42D37">
      <w:r>
        <w:t>E</w:t>
      </w:r>
      <w:r w:rsidR="0012022D" w:rsidRPr="00982F10">
        <w:t>nquiries regarding this licence and any other use of this document are welcome at:</w:t>
      </w:r>
      <w:r w:rsidR="000B60E4">
        <w:t xml:space="preserve"> </w:t>
      </w:r>
    </w:p>
    <w:p w:rsidR="00E20628" w:rsidRDefault="00520972" w:rsidP="00524647">
      <w:pPr>
        <w:jc w:val="left"/>
        <w:sectPr w:rsidR="00E20628" w:rsidSect="0080428A">
          <w:headerReference w:type="first" r:id="rId22"/>
          <w:pgSz w:w="11906" w:h="16838" w:code="9"/>
          <w:pgMar w:top="2466" w:right="2098" w:bottom="2466" w:left="2098" w:header="1899" w:footer="1899" w:gutter="0"/>
          <w:pgNumType w:fmt="lowerRoman"/>
          <w:cols w:space="708"/>
          <w:docGrid w:linePitch="360"/>
        </w:sectPr>
      </w:pPr>
      <w:r w:rsidRPr="00524647">
        <w:t>Karen Williams, Assistant Parliamentary Budget Officer, (02) 6277 952</w:t>
      </w:r>
      <w:r w:rsidR="009271BB">
        <w:t>0.</w:t>
      </w:r>
    </w:p>
    <w:p w:rsidR="00D00D72" w:rsidRPr="00F34DDF" w:rsidRDefault="00B32409" w:rsidP="00B32409">
      <w:pPr>
        <w:pStyle w:val="PBOheader"/>
        <w:spacing w:before="1980"/>
        <w:ind w:left="5216"/>
        <w:rPr>
          <w:b w:val="0"/>
        </w:rPr>
      </w:pPr>
      <w:r>
        <w:rPr>
          <w:noProof/>
        </w:rPr>
        <w:lastRenderedPageBreak/>
        <w:pict>
          <v:shape id="Picture 2" o:spid="_x0000_s1031" type="#_x0000_t75" alt="Parliamentary Budget Office" style="position:absolute;left:0;text-align:left;margin-left:0;margin-top:1.9pt;width:246.6pt;height:52.45pt;z-index:-251658752;visibility:visible">
            <v:imagedata r:id="rId23" o:title="Parliamentary Budget Officer"/>
          </v:shape>
        </w:pict>
      </w:r>
      <w:r w:rsidR="00D00D72" w:rsidRPr="009030A0">
        <w:t>Phil Bowen PSM FCPA</w:t>
      </w:r>
      <w:r w:rsidR="00D00D72">
        <w:br/>
      </w:r>
      <w:r w:rsidR="00D00D72" w:rsidRPr="009030A0">
        <w:t>Parliamentary Budget Officer</w:t>
      </w:r>
    </w:p>
    <w:p w:rsidR="00D00D72" w:rsidRDefault="00D00D72" w:rsidP="00D00D72">
      <w:pPr>
        <w:spacing w:before="960"/>
        <w:jc w:val="left"/>
        <w:rPr>
          <w:szCs w:val="24"/>
        </w:rPr>
      </w:pPr>
      <w:r w:rsidRPr="00723144">
        <w:rPr>
          <w:szCs w:val="24"/>
        </w:rPr>
        <w:t>Senator the Hon Stephen Parry</w:t>
      </w:r>
      <w:r w:rsidRPr="00723144">
        <w:rPr>
          <w:szCs w:val="24"/>
        </w:rPr>
        <w:br/>
        <w:t>President of the Senate</w:t>
      </w:r>
      <w:r>
        <w:rPr>
          <w:szCs w:val="24"/>
        </w:rPr>
        <w:br/>
        <w:t>Parliament House</w:t>
      </w:r>
      <w:r>
        <w:rPr>
          <w:szCs w:val="24"/>
        </w:rPr>
        <w:br/>
        <w:t>CANBERRA  ACT  2600</w:t>
      </w:r>
    </w:p>
    <w:p w:rsidR="00D00D72" w:rsidRDefault="00D00D72" w:rsidP="00D00D72">
      <w:pPr>
        <w:spacing w:before="480"/>
        <w:jc w:val="left"/>
        <w:rPr>
          <w:szCs w:val="24"/>
        </w:rPr>
      </w:pPr>
      <w:r w:rsidRPr="00723144">
        <w:rPr>
          <w:szCs w:val="24"/>
        </w:rPr>
        <w:t xml:space="preserve">The Hon </w:t>
      </w:r>
      <w:r>
        <w:rPr>
          <w:szCs w:val="24"/>
        </w:rPr>
        <w:t>Tony Smith</w:t>
      </w:r>
      <w:r w:rsidRPr="00723144">
        <w:rPr>
          <w:szCs w:val="24"/>
        </w:rPr>
        <w:t xml:space="preserve"> MP</w:t>
      </w:r>
      <w:r w:rsidRPr="00723144">
        <w:rPr>
          <w:szCs w:val="24"/>
        </w:rPr>
        <w:br/>
        <w:t>Speaker of the House of Representatives</w:t>
      </w:r>
      <w:r>
        <w:rPr>
          <w:szCs w:val="24"/>
        </w:rPr>
        <w:br/>
        <w:t>Parliament House</w:t>
      </w:r>
      <w:r>
        <w:rPr>
          <w:szCs w:val="24"/>
        </w:rPr>
        <w:br/>
        <w:t>CANBERRA  ACT  2600</w:t>
      </w:r>
    </w:p>
    <w:p w:rsidR="00D00D72" w:rsidRPr="00723144" w:rsidRDefault="00D00D72" w:rsidP="00D00D72">
      <w:pPr>
        <w:spacing w:before="480"/>
        <w:rPr>
          <w:szCs w:val="24"/>
        </w:rPr>
      </w:pPr>
      <w:r w:rsidRPr="00723144">
        <w:rPr>
          <w:szCs w:val="24"/>
        </w:rPr>
        <w:t>Dear Mr President</w:t>
      </w:r>
      <w:r>
        <w:rPr>
          <w:szCs w:val="24"/>
        </w:rPr>
        <w:t xml:space="preserve"> and Mr</w:t>
      </w:r>
      <w:r w:rsidRPr="00723144">
        <w:rPr>
          <w:szCs w:val="24"/>
        </w:rPr>
        <w:t xml:space="preserve"> Speaker</w:t>
      </w:r>
    </w:p>
    <w:p w:rsidR="00D00D72" w:rsidRDefault="00D00D72" w:rsidP="00D00D72">
      <w:pPr>
        <w:rPr>
          <w:szCs w:val="24"/>
        </w:rPr>
      </w:pPr>
      <w:r>
        <w:rPr>
          <w:szCs w:val="24"/>
        </w:rPr>
        <w:t>I hereby submit Portfolio Budget St</w:t>
      </w:r>
      <w:r w:rsidR="00825A23">
        <w:rPr>
          <w:szCs w:val="24"/>
        </w:rPr>
        <w:t>atements in support of the 2016</w:t>
      </w:r>
      <w:r w:rsidR="000B60E4">
        <w:rPr>
          <w:szCs w:val="24"/>
        </w:rPr>
        <w:t>–</w:t>
      </w:r>
      <w:r>
        <w:rPr>
          <w:szCs w:val="24"/>
        </w:rPr>
        <w:t>17 Budget for the Parliamentary Budget Office.</w:t>
      </w:r>
    </w:p>
    <w:p w:rsidR="00D00D72" w:rsidRPr="00DD6995" w:rsidRDefault="00D00D72" w:rsidP="00D00D72">
      <w:r>
        <w:rPr>
          <w:szCs w:val="24"/>
        </w:rPr>
        <w:t>I present these statements to provide accountability to the Parliament and through it, the public.</w:t>
      </w:r>
    </w:p>
    <w:p w:rsidR="00D00D72" w:rsidRDefault="00D00D72" w:rsidP="00D00D72">
      <w:pPr>
        <w:rPr>
          <w:szCs w:val="24"/>
        </w:rPr>
      </w:pPr>
      <w:r>
        <w:rPr>
          <w:szCs w:val="24"/>
        </w:rPr>
        <w:t>Yours sincerely</w:t>
      </w:r>
    </w:p>
    <w:p w:rsidR="00D00D72" w:rsidRDefault="00D00D72" w:rsidP="00D00D72">
      <w:pPr>
        <w:spacing w:before="960"/>
        <w:rPr>
          <w:szCs w:val="24"/>
        </w:rPr>
      </w:pPr>
      <w:r>
        <w:rPr>
          <w:szCs w:val="24"/>
        </w:rPr>
        <w:t>Phil Bowen</w:t>
      </w:r>
    </w:p>
    <w:p w:rsidR="00734E06" w:rsidRPr="00D00D72" w:rsidRDefault="00B32409" w:rsidP="00B32409">
      <w:pPr>
        <w:spacing w:before="120"/>
        <w:rPr>
          <w:lang w:val="en-US"/>
        </w:rPr>
      </w:pPr>
      <w:r>
        <w:rPr>
          <w:szCs w:val="24"/>
        </w:rPr>
        <w:t xml:space="preserve">27 </w:t>
      </w:r>
      <w:r w:rsidR="000B60E4">
        <w:rPr>
          <w:szCs w:val="24"/>
        </w:rPr>
        <w:t>April</w:t>
      </w:r>
      <w:r w:rsidR="00D00D72">
        <w:rPr>
          <w:szCs w:val="24"/>
        </w:rPr>
        <w:t xml:space="preserve"> </w:t>
      </w:r>
      <w:r w:rsidR="00D00D72" w:rsidRPr="00D00D72">
        <w:rPr>
          <w:szCs w:val="24"/>
        </w:rPr>
        <w:t>2016</w:t>
      </w:r>
    </w:p>
    <w:p w:rsidR="009C0C48" w:rsidRDefault="009C0C48" w:rsidP="009242A2">
      <w:pPr>
        <w:pStyle w:val="Exampletext"/>
        <w:spacing w:before="120"/>
        <w:jc w:val="left"/>
        <w:sectPr w:rsidR="009C0C48" w:rsidSect="0050346A">
          <w:footerReference w:type="first" r:id="rId24"/>
          <w:pgSz w:w="11906" w:h="16838" w:code="9"/>
          <w:pgMar w:top="2466" w:right="2098" w:bottom="2466" w:left="2098" w:header="1899" w:footer="1899" w:gutter="0"/>
          <w:pgNumType w:fmt="lowerRoman"/>
          <w:cols w:space="708"/>
          <w:titlePg/>
          <w:docGrid w:linePitch="360"/>
        </w:sectPr>
      </w:pPr>
    </w:p>
    <w:p w:rsidR="009C0C48" w:rsidRDefault="009C0C48" w:rsidP="009C0C48">
      <w:pPr>
        <w:pStyle w:val="Heading4"/>
      </w:pPr>
      <w:r>
        <w:lastRenderedPageBreak/>
        <w:t>Abbreviations and conventions</w:t>
      </w:r>
    </w:p>
    <w:p w:rsidR="009C0C48" w:rsidRDefault="009C0C48" w:rsidP="009C0C48">
      <w:r>
        <w:t>The following notation may be used:</w:t>
      </w:r>
    </w:p>
    <w:p w:rsidR="009C0C48" w:rsidRDefault="009C0C48" w:rsidP="009C0C48">
      <w:pPr>
        <w:pStyle w:val="SingleParagraph"/>
        <w:tabs>
          <w:tab w:val="left" w:pos="2268"/>
        </w:tabs>
        <w:ind w:left="567"/>
      </w:pPr>
      <w:r>
        <w:t>NEC/nec</w:t>
      </w:r>
      <w:r>
        <w:tab/>
        <w:t>not elsewhere classified</w:t>
      </w:r>
    </w:p>
    <w:p w:rsidR="009C0C48" w:rsidRDefault="00F403D6" w:rsidP="009C0C48">
      <w:pPr>
        <w:pStyle w:val="SingleParagraph"/>
        <w:tabs>
          <w:tab w:val="left" w:pos="2268"/>
        </w:tabs>
        <w:ind w:left="567"/>
      </w:pPr>
      <w:r>
        <w:t>-</w:t>
      </w:r>
      <w:r w:rsidR="009C0C48">
        <w:tab/>
        <w:t>nil</w:t>
      </w:r>
    </w:p>
    <w:p w:rsidR="009C0C48" w:rsidRDefault="009C0C48" w:rsidP="009C0C48">
      <w:pPr>
        <w:pStyle w:val="SingleParagraph"/>
        <w:tabs>
          <w:tab w:val="left" w:pos="2268"/>
        </w:tabs>
        <w:ind w:left="567"/>
      </w:pPr>
      <w:r>
        <w:t>..</w:t>
      </w:r>
      <w:r>
        <w:tab/>
        <w:t>not zero, but rounded to zero</w:t>
      </w:r>
    </w:p>
    <w:p w:rsidR="009C0C48" w:rsidRDefault="009C0C48" w:rsidP="009C0C48">
      <w:pPr>
        <w:pStyle w:val="SingleParagraph"/>
        <w:tabs>
          <w:tab w:val="left" w:pos="2268"/>
        </w:tabs>
        <w:ind w:left="567"/>
      </w:pPr>
      <w:r>
        <w:t>na</w:t>
      </w:r>
      <w:r>
        <w:tab/>
        <w:t>not applicable (unless otherwise specified)</w:t>
      </w:r>
    </w:p>
    <w:p w:rsidR="009C0C48" w:rsidRDefault="009C0C48" w:rsidP="009C0C48">
      <w:pPr>
        <w:pStyle w:val="SingleParagraph"/>
        <w:tabs>
          <w:tab w:val="left" w:pos="2268"/>
        </w:tabs>
        <w:ind w:left="567"/>
      </w:pPr>
      <w:r>
        <w:t>nfp</w:t>
      </w:r>
      <w:r>
        <w:tab/>
        <w:t>not for publication</w:t>
      </w:r>
    </w:p>
    <w:p w:rsidR="009C0C48" w:rsidRDefault="009C0C48" w:rsidP="009C0C48">
      <w:pPr>
        <w:pStyle w:val="SingleParagraph"/>
        <w:tabs>
          <w:tab w:val="left" w:pos="2268"/>
        </w:tabs>
        <w:ind w:left="567"/>
      </w:pPr>
      <w:r>
        <w:t>$m</w:t>
      </w:r>
      <w:r>
        <w:tab/>
        <w:t>$ million</w:t>
      </w:r>
    </w:p>
    <w:p w:rsidR="009C0C48" w:rsidRDefault="009C0C48" w:rsidP="009C0C48">
      <w:pPr>
        <w:tabs>
          <w:tab w:val="left" w:pos="2268"/>
        </w:tabs>
        <w:ind w:left="567"/>
      </w:pPr>
      <w:r>
        <w:t>$b</w:t>
      </w:r>
      <w:r>
        <w:tab/>
        <w:t>$ billion</w:t>
      </w:r>
    </w:p>
    <w:p w:rsidR="009C0C48" w:rsidRDefault="009C0C48" w:rsidP="009C0C48">
      <w:r>
        <w:t>Figures in tables and in the text may be rounded. Figures in text are generally rounded to one decimal place, whereas figures in tables are generally rounded to the nearest thousand. Discrepancies in tables between totals and sums of components are due to rounding.</w:t>
      </w:r>
    </w:p>
    <w:p w:rsidR="009C0C48" w:rsidRDefault="009C0C48" w:rsidP="009C0C48">
      <w:pPr>
        <w:pStyle w:val="Heading4"/>
      </w:pPr>
      <w:r>
        <w:t>Enquiries</w:t>
      </w:r>
    </w:p>
    <w:p w:rsidR="009C0C48" w:rsidRDefault="009C0C48" w:rsidP="009C0C48">
      <w:r>
        <w:t>Should you have any enquiries regarding this publication please contact</w:t>
      </w:r>
      <w:r w:rsidRPr="00420016">
        <w:t xml:space="preserve"> </w:t>
      </w:r>
      <w:r w:rsidR="00F721B7" w:rsidRPr="00084643">
        <w:t>Jenny Jacobs</w:t>
      </w:r>
      <w:r w:rsidR="00F721B7">
        <w:t xml:space="preserve">, </w:t>
      </w:r>
      <w:r w:rsidR="00EE0ACF">
        <w:t>Chief Financ</w:t>
      </w:r>
      <w:r w:rsidR="00BE1ECF">
        <w:t>ial</w:t>
      </w:r>
      <w:r w:rsidR="00EE0ACF">
        <w:t xml:space="preserve"> Officer</w:t>
      </w:r>
      <w:r>
        <w:t xml:space="preserve">, </w:t>
      </w:r>
      <w:r w:rsidR="00F721B7">
        <w:t>Parliamentary Budget Office</w:t>
      </w:r>
      <w:r>
        <w:t xml:space="preserve"> on (02)</w:t>
      </w:r>
      <w:r w:rsidRPr="00420016">
        <w:t xml:space="preserve"> </w:t>
      </w:r>
      <w:r w:rsidR="00F721B7" w:rsidRPr="00084643">
        <w:t>6277 9522</w:t>
      </w:r>
      <w:r w:rsidR="00F721B7">
        <w:t>.</w:t>
      </w:r>
    </w:p>
    <w:p w:rsidR="008D7DFC" w:rsidRDefault="00BE1ECF" w:rsidP="009C0C48">
      <w:r>
        <w:t xml:space="preserve">A copy of this </w:t>
      </w:r>
      <w:r w:rsidR="00E6681B">
        <w:t>document can</w:t>
      </w:r>
      <w:r w:rsidR="009C0C48">
        <w:t xml:space="preserve"> be located on the Australian Government Budget website at</w:t>
      </w:r>
      <w:r w:rsidR="00D30CBA">
        <w:t xml:space="preserve">: </w:t>
      </w:r>
      <w:hyperlink r:id="rId25" w:history="1">
        <w:r w:rsidR="005F3506" w:rsidRPr="00F24527">
          <w:rPr>
            <w:rStyle w:val="Hyperlink"/>
          </w:rPr>
          <w:t>www.budget.gov.au</w:t>
        </w:r>
      </w:hyperlink>
      <w:r w:rsidR="009C0C48">
        <w:t>.</w:t>
      </w:r>
    </w:p>
    <w:p w:rsidR="005F3506" w:rsidRDefault="005F3506" w:rsidP="009C0C48"/>
    <w:p w:rsidR="00D55763" w:rsidRDefault="00D55763" w:rsidP="009C0C48">
      <w:pPr>
        <w:sectPr w:rsidR="00D55763" w:rsidSect="0050346A">
          <w:headerReference w:type="even" r:id="rId26"/>
          <w:headerReference w:type="default" r:id="rId27"/>
          <w:headerReference w:type="first" r:id="rId28"/>
          <w:footerReference w:type="first" r:id="rId29"/>
          <w:pgSz w:w="11906" w:h="16838" w:code="9"/>
          <w:pgMar w:top="2466" w:right="2098" w:bottom="2466" w:left="2098" w:header="1899" w:footer="1899" w:gutter="0"/>
          <w:pgNumType w:fmt="lowerRoman"/>
          <w:cols w:space="708"/>
          <w:titlePg/>
          <w:docGrid w:linePitch="360"/>
        </w:sectPr>
      </w:pPr>
    </w:p>
    <w:p w:rsidR="008D7DFC" w:rsidRDefault="00CA2F21" w:rsidP="006B0BDF">
      <w:pPr>
        <w:pStyle w:val="PartHeading"/>
        <w:spacing w:before="2760"/>
      </w:pPr>
      <w:bookmarkStart w:id="1" w:name="_Toc444523502"/>
      <w:r>
        <w:lastRenderedPageBreak/>
        <w:t>User g</w:t>
      </w:r>
      <w:r w:rsidR="008D7DFC">
        <w:t>uide</w:t>
      </w:r>
      <w:bookmarkStart w:id="2" w:name="_Toc444523503"/>
      <w:bookmarkEnd w:id="1"/>
      <w:r w:rsidR="006B0BDF">
        <w:br/>
      </w:r>
      <w:r w:rsidR="00300013">
        <w:t>t</w:t>
      </w:r>
      <w:r w:rsidR="008D7DFC">
        <w:t>o the</w:t>
      </w:r>
      <w:bookmarkStart w:id="3" w:name="_Toc444523504"/>
      <w:bookmarkEnd w:id="2"/>
      <w:r w:rsidR="006B0BDF">
        <w:br/>
      </w:r>
      <w:r w:rsidR="008D7DFC">
        <w:t>Portfolio Budget Statements</w:t>
      </w:r>
      <w:bookmarkEnd w:id="3"/>
    </w:p>
    <w:p w:rsidR="00AF0301" w:rsidRPr="00AF0301" w:rsidRDefault="00AF0301" w:rsidP="00AF0301"/>
    <w:p w:rsidR="008D7DFC" w:rsidRDefault="008D7DFC" w:rsidP="009C0C48">
      <w:pPr>
        <w:sectPr w:rsidR="008D7DFC" w:rsidSect="0050346A">
          <w:footerReference w:type="first" r:id="rId30"/>
          <w:pgSz w:w="11906" w:h="16838" w:code="9"/>
          <w:pgMar w:top="2466" w:right="2098" w:bottom="2466" w:left="2098" w:header="1899" w:footer="1899" w:gutter="0"/>
          <w:pgNumType w:fmt="lowerRoman"/>
          <w:cols w:space="708"/>
          <w:titlePg/>
          <w:docGrid w:linePitch="360"/>
        </w:sectPr>
      </w:pPr>
    </w:p>
    <w:p w:rsidR="008D7DFC" w:rsidRDefault="008D7DFC" w:rsidP="008D7DFC">
      <w:pPr>
        <w:pStyle w:val="Heading1"/>
        <w:rPr>
          <w:kern w:val="0"/>
          <w:lang w:val="en-US"/>
        </w:rPr>
      </w:pPr>
      <w:bookmarkStart w:id="4" w:name="_Toc112211948"/>
      <w:bookmarkStart w:id="5" w:name="_Toc112212042"/>
      <w:bookmarkStart w:id="6" w:name="_Toc112137860"/>
      <w:bookmarkStart w:id="7" w:name="_Toc112224367"/>
      <w:bookmarkStart w:id="8" w:name="_Toc112225828"/>
      <w:r>
        <w:rPr>
          <w:kern w:val="0"/>
          <w:lang w:val="en-US"/>
        </w:rPr>
        <w:lastRenderedPageBreak/>
        <w:t xml:space="preserve">User </w:t>
      </w:r>
      <w:r w:rsidR="00CA2F21">
        <w:rPr>
          <w:kern w:val="0"/>
          <w:lang w:val="en-US"/>
        </w:rPr>
        <w:t>g</w:t>
      </w:r>
      <w:r>
        <w:rPr>
          <w:kern w:val="0"/>
          <w:lang w:val="en-US"/>
        </w:rPr>
        <w:t>uide</w:t>
      </w:r>
      <w:bookmarkEnd w:id="4"/>
      <w:bookmarkEnd w:id="5"/>
      <w:bookmarkEnd w:id="6"/>
      <w:bookmarkEnd w:id="7"/>
      <w:bookmarkEnd w:id="8"/>
    </w:p>
    <w:p w:rsidR="008D7DFC" w:rsidRDefault="00A409BC" w:rsidP="008D7DFC">
      <w:r>
        <w:t xml:space="preserve">The purpose of the </w:t>
      </w:r>
      <w:r w:rsidR="00475EAF" w:rsidRPr="00BE1ECF">
        <w:t>201</w:t>
      </w:r>
      <w:r w:rsidR="000C1928" w:rsidRPr="00BE1ECF">
        <w:t>6</w:t>
      </w:r>
      <w:r w:rsidR="000B60E4">
        <w:t>–</w:t>
      </w:r>
      <w:r w:rsidR="00475EAF" w:rsidRPr="00BE1ECF">
        <w:t>1</w:t>
      </w:r>
      <w:r w:rsidR="000C1928" w:rsidRPr="00BE1ECF">
        <w:t>7</w:t>
      </w:r>
      <w:r w:rsidR="008D7DFC" w:rsidRPr="00BE1ECF">
        <w:t xml:space="preserve"> Portfolio Budget Statements</w:t>
      </w:r>
      <w:r w:rsidR="008D7DFC">
        <w:t xml:space="preserve"> (PB Statements) is to inform Senators and Members of Parliament of the proposed allocation of resources to </w:t>
      </w:r>
      <w:r w:rsidR="00BE1ECF">
        <w:t xml:space="preserve">the Parliamentary Budget Office </w:t>
      </w:r>
      <w:r w:rsidR="00FD0227">
        <w:t xml:space="preserve">(PBO) </w:t>
      </w:r>
      <w:r w:rsidR="00BE1ECF">
        <w:t>outcome. The PBO</w:t>
      </w:r>
      <w:r w:rsidR="007E6BBD">
        <w:t xml:space="preserve"> </w:t>
      </w:r>
      <w:r w:rsidR="008D7DFC">
        <w:t>receive</w:t>
      </w:r>
      <w:r w:rsidR="00BE1ECF">
        <w:t>s</w:t>
      </w:r>
      <w:r w:rsidR="008D7DFC">
        <w:t xml:space="preserve"> resources from the annual </w:t>
      </w:r>
      <w:r w:rsidR="00BE1ECF">
        <w:t xml:space="preserve">parliamentary departments </w:t>
      </w:r>
      <w:r w:rsidR="008D7DFC">
        <w:t>appropriations acts</w:t>
      </w:r>
      <w:r w:rsidR="00BE1ECF">
        <w:t xml:space="preserve"> and a </w:t>
      </w:r>
      <w:r w:rsidR="008D7DFC">
        <w:t>special appropriation</w:t>
      </w:r>
      <w:r w:rsidR="00BE1ECF">
        <w:t>.</w:t>
      </w:r>
    </w:p>
    <w:p w:rsidR="008D7DFC" w:rsidRDefault="008D7DFC" w:rsidP="008D7DFC">
      <w:r>
        <w:t xml:space="preserve">A key role of the PB Statements is to facilitate the understanding of proposed annual appropriations in </w:t>
      </w:r>
      <w:r w:rsidRPr="003F3C77">
        <w:t>Appropriati</w:t>
      </w:r>
      <w:r w:rsidR="00C11F05" w:rsidRPr="003F3C77">
        <w:t xml:space="preserve">on </w:t>
      </w:r>
      <w:r w:rsidR="00BE1ECF">
        <w:t xml:space="preserve">(Parliamentary Departments) </w:t>
      </w:r>
      <w:r w:rsidR="00C11F05" w:rsidRPr="003F3C77">
        <w:t xml:space="preserve">Bill </w:t>
      </w:r>
      <w:r w:rsidR="005F4739" w:rsidRPr="003F3C77">
        <w:t>(</w:t>
      </w:r>
      <w:r w:rsidR="00C11F05" w:rsidRPr="003F3C77">
        <w:t>No. 1</w:t>
      </w:r>
      <w:r w:rsidR="00BE1ECF">
        <w:t>)</w:t>
      </w:r>
      <w:r w:rsidRPr="003F3C77">
        <w:t xml:space="preserve"> </w:t>
      </w:r>
      <w:r w:rsidR="00475EAF" w:rsidRPr="003F3C77">
        <w:t>201</w:t>
      </w:r>
      <w:r w:rsidR="000C1928" w:rsidRPr="003F3C77">
        <w:t>6</w:t>
      </w:r>
      <w:r w:rsidR="00A84EE0">
        <w:t>–</w:t>
      </w:r>
      <w:r w:rsidR="00475EAF" w:rsidRPr="003F3C77">
        <w:t>1</w:t>
      </w:r>
      <w:r w:rsidR="000C1928" w:rsidRPr="003F3C77">
        <w:t>7</w:t>
      </w:r>
      <w:r w:rsidR="00BE1ECF">
        <w:t>.</w:t>
      </w:r>
      <w:r>
        <w:t xml:space="preserve"> </w:t>
      </w:r>
      <w:r w:rsidR="00B6147F">
        <w:t xml:space="preserve"> </w:t>
      </w:r>
      <w:r>
        <w:t xml:space="preserve">In this sense the PB Statements are Budget related papers and are declared by the </w:t>
      </w:r>
      <w:r w:rsidR="00BE1ECF">
        <w:t>ap</w:t>
      </w:r>
      <w:r>
        <w:t>pr</w:t>
      </w:r>
      <w:r w:rsidR="00BE1ECF">
        <w:t>opr</w:t>
      </w:r>
      <w:r>
        <w:t xml:space="preserve">iation </w:t>
      </w:r>
      <w:r w:rsidR="00BE1ECF">
        <w:t>a</w:t>
      </w:r>
      <w:r>
        <w:t xml:space="preserve">cts to be ‘relevant documents’ to the interpretation of the </w:t>
      </w:r>
      <w:r w:rsidR="00BE1ECF">
        <w:t>ac</w:t>
      </w:r>
      <w:r>
        <w:t xml:space="preserve">ts according to section 15AB of the </w:t>
      </w:r>
      <w:r>
        <w:rPr>
          <w:i/>
        </w:rPr>
        <w:t>Acts Interpretation Act 1901</w:t>
      </w:r>
      <w:r>
        <w:t>.</w:t>
      </w:r>
    </w:p>
    <w:p w:rsidR="009242A2" w:rsidRDefault="008D7DFC" w:rsidP="00FD0227">
      <w:pPr>
        <w:sectPr w:rsidR="009242A2" w:rsidSect="0050346A">
          <w:headerReference w:type="even" r:id="rId31"/>
          <w:headerReference w:type="default" r:id="rId32"/>
          <w:footerReference w:type="default" r:id="rId33"/>
          <w:headerReference w:type="first" r:id="rId34"/>
          <w:footerReference w:type="first" r:id="rId35"/>
          <w:pgSz w:w="11906" w:h="16838" w:code="9"/>
          <w:pgMar w:top="2466" w:right="2098" w:bottom="2466" w:left="2098" w:header="1899" w:footer="1899" w:gutter="0"/>
          <w:pgNumType w:fmt="lowerRoman"/>
          <w:cols w:space="708"/>
          <w:titlePg/>
          <w:docGrid w:linePitch="360"/>
        </w:sectPr>
      </w:pPr>
      <w:r>
        <w:t>The PB Statements provide information, explanation and justification to enable Parliament to understand the purpose of each outcome proposed in the Bill.</w:t>
      </w:r>
    </w:p>
    <w:p w:rsidR="006B0BDF" w:rsidRDefault="006B0BDF" w:rsidP="006B0BDF">
      <w:pPr>
        <w:pStyle w:val="ContentsHeading"/>
      </w:pPr>
      <w:bookmarkStart w:id="9" w:name="_Toc444523505"/>
      <w:bookmarkStart w:id="10" w:name="_Toc448762502"/>
      <w:r>
        <w:lastRenderedPageBreak/>
        <w:t>Contents</w:t>
      </w:r>
    </w:p>
    <w:p w:rsidR="0025382C" w:rsidRPr="00735752" w:rsidRDefault="006B0BDF">
      <w:pPr>
        <w:pStyle w:val="TOC1"/>
        <w:rPr>
          <w:rFonts w:ascii="Calibri" w:hAnsi="Calibri"/>
          <w:b w:val="0"/>
          <w:noProof/>
          <w:sz w:val="22"/>
          <w:szCs w:val="22"/>
        </w:rPr>
      </w:pPr>
      <w:r>
        <w:fldChar w:fldCharType="begin"/>
      </w:r>
      <w:r>
        <w:instrText xml:space="preserve"> TOC \h \z \t "Part,1,Department,2,Heading 1 no TOC,2" </w:instrText>
      </w:r>
      <w:r>
        <w:fldChar w:fldCharType="separate"/>
      </w:r>
      <w:hyperlink w:anchor="_Toc449514891" w:history="1">
        <w:r w:rsidR="0025382C" w:rsidRPr="008A6566">
          <w:rPr>
            <w:rStyle w:val="Hyperlink"/>
            <w:noProof/>
          </w:rPr>
          <w:t>Department overview</w:t>
        </w:r>
        <w:r w:rsidR="0025382C">
          <w:rPr>
            <w:noProof/>
            <w:webHidden/>
          </w:rPr>
          <w:tab/>
        </w:r>
        <w:r w:rsidR="0025382C">
          <w:rPr>
            <w:noProof/>
            <w:webHidden/>
          </w:rPr>
          <w:fldChar w:fldCharType="begin"/>
        </w:r>
        <w:r w:rsidR="0025382C">
          <w:rPr>
            <w:noProof/>
            <w:webHidden/>
          </w:rPr>
          <w:instrText xml:space="preserve"> PAGEREF _Toc449514891 \h </w:instrText>
        </w:r>
        <w:r w:rsidR="0025382C">
          <w:rPr>
            <w:noProof/>
            <w:webHidden/>
          </w:rPr>
        </w:r>
        <w:r w:rsidR="0025382C">
          <w:rPr>
            <w:noProof/>
            <w:webHidden/>
          </w:rPr>
          <w:fldChar w:fldCharType="separate"/>
        </w:r>
        <w:r w:rsidR="008A5071">
          <w:rPr>
            <w:noProof/>
            <w:webHidden/>
          </w:rPr>
          <w:t>1</w:t>
        </w:r>
        <w:r w:rsidR="0025382C">
          <w:rPr>
            <w:noProof/>
            <w:webHidden/>
          </w:rPr>
          <w:fldChar w:fldCharType="end"/>
        </w:r>
      </w:hyperlink>
    </w:p>
    <w:p w:rsidR="0025382C" w:rsidRPr="00735752" w:rsidRDefault="0025382C">
      <w:pPr>
        <w:pStyle w:val="TOC2"/>
        <w:rPr>
          <w:rFonts w:ascii="Calibri" w:hAnsi="Calibri"/>
          <w:noProof/>
          <w:sz w:val="22"/>
          <w:szCs w:val="22"/>
        </w:rPr>
      </w:pPr>
      <w:hyperlink w:anchor="_Toc449514892" w:history="1">
        <w:r w:rsidRPr="008A6566">
          <w:rPr>
            <w:rStyle w:val="Hyperlink"/>
            <w:noProof/>
          </w:rPr>
          <w:t>Parliamentary Budget Office overview</w:t>
        </w:r>
        <w:r>
          <w:rPr>
            <w:noProof/>
            <w:webHidden/>
          </w:rPr>
          <w:tab/>
        </w:r>
        <w:r>
          <w:rPr>
            <w:noProof/>
            <w:webHidden/>
          </w:rPr>
          <w:fldChar w:fldCharType="begin"/>
        </w:r>
        <w:r>
          <w:rPr>
            <w:noProof/>
            <w:webHidden/>
          </w:rPr>
          <w:instrText xml:space="preserve"> PAGEREF _Toc449514892 \h </w:instrText>
        </w:r>
        <w:r>
          <w:rPr>
            <w:noProof/>
            <w:webHidden/>
          </w:rPr>
        </w:r>
        <w:r>
          <w:rPr>
            <w:noProof/>
            <w:webHidden/>
          </w:rPr>
          <w:fldChar w:fldCharType="separate"/>
        </w:r>
        <w:r w:rsidR="008A5071">
          <w:rPr>
            <w:noProof/>
            <w:webHidden/>
          </w:rPr>
          <w:t>3</w:t>
        </w:r>
        <w:r>
          <w:rPr>
            <w:noProof/>
            <w:webHidden/>
          </w:rPr>
          <w:fldChar w:fldCharType="end"/>
        </w:r>
      </w:hyperlink>
    </w:p>
    <w:p w:rsidR="0025382C" w:rsidRPr="00735752" w:rsidRDefault="0025382C">
      <w:pPr>
        <w:pStyle w:val="TOC2"/>
        <w:rPr>
          <w:rFonts w:ascii="Calibri" w:hAnsi="Calibri"/>
          <w:noProof/>
          <w:sz w:val="22"/>
          <w:szCs w:val="22"/>
        </w:rPr>
      </w:pPr>
      <w:hyperlink w:anchor="_Toc449514893" w:history="1">
        <w:r w:rsidRPr="008A6566">
          <w:rPr>
            <w:rStyle w:val="Hyperlink"/>
            <w:noProof/>
          </w:rPr>
          <w:t>Parliamentary Budget Office</w:t>
        </w:r>
        <w:r>
          <w:rPr>
            <w:noProof/>
            <w:webHidden/>
          </w:rPr>
          <w:tab/>
        </w:r>
        <w:r>
          <w:rPr>
            <w:noProof/>
            <w:webHidden/>
          </w:rPr>
          <w:fldChar w:fldCharType="begin"/>
        </w:r>
        <w:r>
          <w:rPr>
            <w:noProof/>
            <w:webHidden/>
          </w:rPr>
          <w:instrText xml:space="preserve"> PAGEREF _Toc449514893 \h </w:instrText>
        </w:r>
        <w:r>
          <w:rPr>
            <w:noProof/>
            <w:webHidden/>
          </w:rPr>
        </w:r>
        <w:r>
          <w:rPr>
            <w:noProof/>
            <w:webHidden/>
          </w:rPr>
          <w:fldChar w:fldCharType="separate"/>
        </w:r>
        <w:r w:rsidR="008A5071">
          <w:rPr>
            <w:noProof/>
            <w:webHidden/>
          </w:rPr>
          <w:t>5</w:t>
        </w:r>
        <w:r>
          <w:rPr>
            <w:noProof/>
            <w:webHidden/>
          </w:rPr>
          <w:fldChar w:fldCharType="end"/>
        </w:r>
      </w:hyperlink>
    </w:p>
    <w:p w:rsidR="00AF0301" w:rsidRDefault="006B0BDF" w:rsidP="006B0BDF">
      <w:pPr>
        <w:sectPr w:rsidR="00AF0301" w:rsidSect="00AF0301">
          <w:headerReference w:type="even" r:id="rId36"/>
          <w:headerReference w:type="default" r:id="rId37"/>
          <w:headerReference w:type="first" r:id="rId38"/>
          <w:footerReference w:type="first" r:id="rId39"/>
          <w:pgSz w:w="11906" w:h="16838" w:code="9"/>
          <w:pgMar w:top="2466" w:right="2098" w:bottom="2466" w:left="2098" w:header="1899" w:footer="1899" w:gutter="0"/>
          <w:pgNumType w:fmt="lowerRoman"/>
          <w:cols w:space="708"/>
          <w:titlePg/>
          <w:docGrid w:linePitch="360"/>
        </w:sectPr>
      </w:pPr>
      <w:r>
        <w:fldChar w:fldCharType="end"/>
      </w:r>
    </w:p>
    <w:p w:rsidR="00AF0301" w:rsidRDefault="00420016" w:rsidP="00F220D3">
      <w:pPr>
        <w:pStyle w:val="Part"/>
      </w:pPr>
      <w:bookmarkStart w:id="11" w:name="_Toc449514891"/>
      <w:r>
        <w:lastRenderedPageBreak/>
        <w:t xml:space="preserve">Department </w:t>
      </w:r>
      <w:r w:rsidR="00605163">
        <w:t>o</w:t>
      </w:r>
      <w:r w:rsidR="00FF26B9">
        <w:t>verview</w:t>
      </w:r>
      <w:bookmarkEnd w:id="9"/>
      <w:bookmarkEnd w:id="10"/>
      <w:bookmarkEnd w:id="11"/>
    </w:p>
    <w:p w:rsidR="00AF0301" w:rsidRPr="00AF0301" w:rsidRDefault="00AF0301" w:rsidP="00AF0301">
      <w:pPr>
        <w:sectPr w:rsidR="00AF0301" w:rsidRPr="00AF0301" w:rsidSect="00F220D3">
          <w:footerReference w:type="first" r:id="rId40"/>
          <w:type w:val="oddPage"/>
          <w:pgSz w:w="11906" w:h="16838" w:code="9"/>
          <w:pgMar w:top="8186" w:right="2098" w:bottom="2466" w:left="2098" w:header="1899" w:footer="1899" w:gutter="0"/>
          <w:pgNumType w:start="1"/>
          <w:cols w:space="708"/>
          <w:titlePg/>
          <w:docGrid w:linePitch="360"/>
        </w:sectPr>
      </w:pPr>
    </w:p>
    <w:p w:rsidR="00F76602" w:rsidRDefault="00F76602" w:rsidP="00F76602">
      <w:pPr>
        <w:pStyle w:val="Heading1noTOC"/>
      </w:pPr>
      <w:bookmarkStart w:id="12" w:name="_Toc190682306"/>
      <w:bookmarkStart w:id="13" w:name="_Toc444523506"/>
      <w:bookmarkStart w:id="14" w:name="_Toc190766148"/>
      <w:bookmarkStart w:id="15" w:name="_Toc444523368"/>
      <w:bookmarkStart w:id="16" w:name="_Toc449514892"/>
      <w:r>
        <w:lastRenderedPageBreak/>
        <w:t>Parliamentary Budget Office overview</w:t>
      </w:r>
      <w:bookmarkEnd w:id="14"/>
      <w:bookmarkEnd w:id="15"/>
      <w:bookmarkEnd w:id="16"/>
    </w:p>
    <w:p w:rsidR="00D46A7B" w:rsidRDefault="00420016" w:rsidP="00A02D24">
      <w:pPr>
        <w:pStyle w:val="Heading2NoTOC"/>
      </w:pPr>
      <w:r>
        <w:t>Departmental</w:t>
      </w:r>
      <w:r w:rsidR="00D46A7B">
        <w:t xml:space="preserve"> </w:t>
      </w:r>
      <w:r w:rsidR="00605163">
        <w:t>r</w:t>
      </w:r>
      <w:r w:rsidR="00D46A7B">
        <w:t>esponsibilities</w:t>
      </w:r>
      <w:bookmarkEnd w:id="12"/>
      <w:bookmarkEnd w:id="13"/>
    </w:p>
    <w:p w:rsidR="00420016" w:rsidRPr="00420016" w:rsidRDefault="00420016" w:rsidP="00A90840">
      <w:r w:rsidRPr="00084643">
        <w:t>The Parliamentary Budget Office (PBO) is one of four parliamentary departments supporting the Australian Parliament.</w:t>
      </w:r>
    </w:p>
    <w:p w:rsidR="00420016" w:rsidRPr="00420016" w:rsidRDefault="00420016" w:rsidP="002C2605">
      <w:r w:rsidRPr="00084643">
        <w:t>The purpose of the PBO is to inform the Parliament by providing independent</w:t>
      </w:r>
      <w:r w:rsidR="00A24707">
        <w:t xml:space="preserve"> and non</w:t>
      </w:r>
      <w:r w:rsidR="00A24707">
        <w:noBreakHyphen/>
      </w:r>
      <w:r w:rsidRPr="00084643">
        <w:t>partisan analysis of the budget cycle, fiscal policy and the financial implications of proposals.</w:t>
      </w:r>
    </w:p>
    <w:p w:rsidR="00420016" w:rsidRPr="00420016" w:rsidRDefault="00420016" w:rsidP="00E501C3">
      <w:r w:rsidRPr="00084643">
        <w:t>The Parliamentary Budget Officer, under the Presiding Officers, is responsible for leading and managing the PBO.</w:t>
      </w:r>
    </w:p>
    <w:p w:rsidR="00420016" w:rsidRPr="00084643" w:rsidRDefault="00420016" w:rsidP="00E501C3">
      <w:r w:rsidRPr="00084643">
        <w:t xml:space="preserve">As set out in the </w:t>
      </w:r>
      <w:r w:rsidRPr="009242A2">
        <w:rPr>
          <w:i/>
        </w:rPr>
        <w:t>Parliamentary Service Act 1999</w:t>
      </w:r>
      <w:r w:rsidRPr="00084643">
        <w:t>, the Parliamentary Budget Officer has the following functions:</w:t>
      </w:r>
    </w:p>
    <w:p w:rsidR="00420016" w:rsidRPr="00D66144" w:rsidRDefault="00420016" w:rsidP="000B60E4">
      <w:pPr>
        <w:pStyle w:val="PBObullet"/>
        <w:jc w:val="both"/>
      </w:pPr>
      <w:r w:rsidRPr="00D66144">
        <w:t>outside the caretaker period for a general election, to prepare policy costings on request by Senators and Members, with the requests and the PBO’s responses to be kept confidential if so directed by the requestor</w:t>
      </w:r>
    </w:p>
    <w:p w:rsidR="00420016" w:rsidRPr="00D66144" w:rsidRDefault="00420016" w:rsidP="000B60E4">
      <w:pPr>
        <w:pStyle w:val="PBObullet"/>
        <w:jc w:val="both"/>
      </w:pPr>
      <w:r w:rsidRPr="00D66144">
        <w:t xml:space="preserve">during the caretaker period for a general election, to prepare costings of publicly announced policies on request by authorised members of parliamentary parties or independent </w:t>
      </w:r>
      <w:r w:rsidR="009242A2" w:rsidRPr="00D66144">
        <w:t>parliamentarians, with the</w:t>
      </w:r>
      <w:r w:rsidR="00FD0227" w:rsidRPr="00D66144">
        <w:t xml:space="preserve"> requests and the</w:t>
      </w:r>
      <w:r w:rsidR="009242A2" w:rsidRPr="00D66144">
        <w:t xml:space="preserve"> PBO’s responses to be made public</w:t>
      </w:r>
    </w:p>
    <w:p w:rsidR="00420016" w:rsidRPr="00D66144" w:rsidRDefault="00420016" w:rsidP="000B60E4">
      <w:pPr>
        <w:pStyle w:val="PBObullet"/>
        <w:jc w:val="both"/>
      </w:pPr>
      <w:r w:rsidRPr="00D66144">
        <w:t>to prepare responses (other than policy costings) to requests relating to the budget from Senators and Members, with the requests and the PBO’s responses to be kept confidential if so directed by the requestor</w:t>
      </w:r>
    </w:p>
    <w:p w:rsidR="00420016" w:rsidRPr="00D66144" w:rsidRDefault="00420016" w:rsidP="000B60E4">
      <w:pPr>
        <w:pStyle w:val="PBObullet"/>
        <w:jc w:val="both"/>
      </w:pPr>
      <w:r w:rsidRPr="00D66144">
        <w:t>to prepare submissions to inquiries of parliamentary committees, on request by such committees, with the requests and the PBO’s responses to be made public</w:t>
      </w:r>
    </w:p>
    <w:p w:rsidR="00420016" w:rsidRPr="00D66144" w:rsidRDefault="00420016" w:rsidP="000B60E4">
      <w:pPr>
        <w:pStyle w:val="PBObullet"/>
        <w:jc w:val="both"/>
      </w:pPr>
      <w:r w:rsidRPr="00D66144">
        <w:t>after a general election, to report on the</w:t>
      </w:r>
      <w:r w:rsidR="0051425A" w:rsidRPr="00D66144">
        <w:t xml:space="preserve"> budget impacts of the </w:t>
      </w:r>
      <w:r w:rsidRPr="00D66144">
        <w:t>election commitments of designated parliamentary parties</w:t>
      </w:r>
    </w:p>
    <w:p w:rsidR="00420016" w:rsidRDefault="00420016" w:rsidP="000B60E4">
      <w:pPr>
        <w:pStyle w:val="PBObullet"/>
        <w:jc w:val="both"/>
      </w:pPr>
      <w:r w:rsidRPr="00D66144">
        <w:t>to conduct, on his or her own initiative, research on the budget and fiscal policy settings, with the results of this wo</w:t>
      </w:r>
      <w:r w:rsidR="009242A2" w:rsidRPr="00D66144">
        <w:t>rk to be made public</w:t>
      </w:r>
      <w:r w:rsidRPr="00D66144">
        <w:t>.</w:t>
      </w:r>
    </w:p>
    <w:p w:rsidR="00F220D3" w:rsidRDefault="00F220D3" w:rsidP="00F220D3">
      <w:pPr>
        <w:sectPr w:rsidR="00F220D3" w:rsidSect="00AF0301">
          <w:headerReference w:type="first" r:id="rId41"/>
          <w:type w:val="oddPage"/>
          <w:pgSz w:w="11906" w:h="16838" w:code="9"/>
          <w:pgMar w:top="2466" w:right="2098" w:bottom="2466" w:left="2098" w:header="1899" w:footer="1899" w:gutter="0"/>
          <w:cols w:space="708"/>
          <w:titlePg/>
          <w:docGrid w:linePitch="360"/>
        </w:sectPr>
      </w:pPr>
    </w:p>
    <w:p w:rsidR="00257FF4" w:rsidRDefault="00420016" w:rsidP="00BC0E44">
      <w:pPr>
        <w:pStyle w:val="Department"/>
        <w:spacing w:before="2040"/>
      </w:pPr>
      <w:bookmarkStart w:id="17" w:name="_Toc448762503"/>
      <w:bookmarkStart w:id="18" w:name="_Toc449514893"/>
      <w:r>
        <w:lastRenderedPageBreak/>
        <w:t>Parliamentary Budget Office</w:t>
      </w:r>
      <w:bookmarkEnd w:id="17"/>
      <w:bookmarkEnd w:id="18"/>
    </w:p>
    <w:p w:rsidR="00F220D3" w:rsidRDefault="007E6BBD" w:rsidP="00F220D3">
      <w:pPr>
        <w:pStyle w:val="DepartmentSubtitle"/>
        <w:spacing w:before="2080"/>
      </w:pPr>
      <w:r>
        <w:t xml:space="preserve">Entity </w:t>
      </w:r>
      <w:r w:rsidR="00605163">
        <w:t>resources and planned performance</w:t>
      </w:r>
    </w:p>
    <w:p w:rsidR="00F220D3" w:rsidRDefault="00F220D3" w:rsidP="00F220D3">
      <w:pPr>
        <w:pStyle w:val="DepartmentSubtitle"/>
        <w:spacing w:before="2080"/>
        <w:sectPr w:rsidR="00F220D3" w:rsidSect="00AF0301">
          <w:headerReference w:type="first" r:id="rId42"/>
          <w:footerReference w:type="first" r:id="rId43"/>
          <w:type w:val="oddPage"/>
          <w:pgSz w:w="11906" w:h="16838" w:code="9"/>
          <w:pgMar w:top="2466" w:right="2098" w:bottom="2466" w:left="2098" w:header="1899" w:footer="1899" w:gutter="0"/>
          <w:cols w:space="708"/>
          <w:titlePg/>
          <w:docGrid w:linePitch="360"/>
        </w:sectPr>
      </w:pPr>
    </w:p>
    <w:p w:rsidR="00257FF4" w:rsidRDefault="005F2CCC" w:rsidP="00C8049D">
      <w:pPr>
        <w:pStyle w:val="ContentsHeading"/>
      </w:pPr>
      <w:r>
        <w:lastRenderedPageBreak/>
        <w:t>Parliamentary Budget Office</w:t>
      </w:r>
    </w:p>
    <w:p w:rsidR="00893A1F" w:rsidRPr="006A52EA" w:rsidRDefault="00915F49">
      <w:pPr>
        <w:pStyle w:val="TOC1"/>
        <w:rPr>
          <w:rFonts w:ascii="Calibri" w:hAnsi="Calibri"/>
          <w:b w:val="0"/>
          <w:noProof/>
          <w:sz w:val="22"/>
          <w:szCs w:val="22"/>
        </w:rPr>
      </w:pPr>
      <w:r>
        <w:fldChar w:fldCharType="begin"/>
      </w:r>
      <w:r>
        <w:instrText xml:space="preserve"> TOC \h \z \t "Heading 2,1,Heading 3,2" </w:instrText>
      </w:r>
      <w:r>
        <w:fldChar w:fldCharType="separate"/>
      </w:r>
      <w:hyperlink w:anchor="_Toc449451531" w:history="1">
        <w:r w:rsidR="00893A1F" w:rsidRPr="009A46B9">
          <w:rPr>
            <w:rStyle w:val="Hyperlink"/>
            <w:noProof/>
          </w:rPr>
          <w:t>Section 1: Entity overview and resources</w:t>
        </w:r>
        <w:r w:rsidR="00893A1F">
          <w:rPr>
            <w:noProof/>
            <w:webHidden/>
          </w:rPr>
          <w:tab/>
        </w:r>
        <w:r w:rsidR="00893A1F">
          <w:rPr>
            <w:noProof/>
            <w:webHidden/>
          </w:rPr>
          <w:fldChar w:fldCharType="begin"/>
        </w:r>
        <w:r w:rsidR="00893A1F">
          <w:rPr>
            <w:noProof/>
            <w:webHidden/>
          </w:rPr>
          <w:instrText xml:space="preserve"> PAGEREF _Toc449451531 \h </w:instrText>
        </w:r>
        <w:r w:rsidR="00893A1F">
          <w:rPr>
            <w:noProof/>
            <w:webHidden/>
          </w:rPr>
        </w:r>
        <w:r w:rsidR="00893A1F">
          <w:rPr>
            <w:noProof/>
            <w:webHidden/>
          </w:rPr>
          <w:fldChar w:fldCharType="separate"/>
        </w:r>
        <w:r w:rsidR="008A5071">
          <w:rPr>
            <w:noProof/>
            <w:webHidden/>
          </w:rPr>
          <w:t>7</w:t>
        </w:r>
        <w:r w:rsidR="00893A1F">
          <w:rPr>
            <w:noProof/>
            <w:webHidden/>
          </w:rPr>
          <w:fldChar w:fldCharType="end"/>
        </w:r>
      </w:hyperlink>
    </w:p>
    <w:p w:rsidR="00893A1F" w:rsidRPr="006A52EA" w:rsidRDefault="00893A1F">
      <w:pPr>
        <w:pStyle w:val="TOC2"/>
        <w:tabs>
          <w:tab w:val="left" w:pos="800"/>
        </w:tabs>
        <w:rPr>
          <w:rFonts w:ascii="Calibri" w:hAnsi="Calibri"/>
          <w:noProof/>
          <w:sz w:val="22"/>
          <w:szCs w:val="22"/>
        </w:rPr>
      </w:pPr>
      <w:hyperlink w:anchor="_Toc449451532" w:history="1">
        <w:r w:rsidRPr="009A46B9">
          <w:rPr>
            <w:rStyle w:val="Hyperlink"/>
            <w:noProof/>
          </w:rPr>
          <w:t>1.1</w:t>
        </w:r>
        <w:r w:rsidRPr="006A52EA">
          <w:rPr>
            <w:rFonts w:ascii="Calibri" w:hAnsi="Calibri"/>
            <w:noProof/>
            <w:sz w:val="22"/>
            <w:szCs w:val="22"/>
          </w:rPr>
          <w:tab/>
        </w:r>
        <w:r w:rsidRPr="009A46B9">
          <w:rPr>
            <w:rStyle w:val="Hyperlink"/>
            <w:noProof/>
          </w:rPr>
          <w:t>Strategic direction statement</w:t>
        </w:r>
        <w:r>
          <w:rPr>
            <w:noProof/>
            <w:webHidden/>
          </w:rPr>
          <w:tab/>
        </w:r>
        <w:r>
          <w:rPr>
            <w:noProof/>
            <w:webHidden/>
          </w:rPr>
          <w:fldChar w:fldCharType="begin"/>
        </w:r>
        <w:r>
          <w:rPr>
            <w:noProof/>
            <w:webHidden/>
          </w:rPr>
          <w:instrText xml:space="preserve"> PAGEREF _Toc449451532 \h </w:instrText>
        </w:r>
        <w:r>
          <w:rPr>
            <w:noProof/>
            <w:webHidden/>
          </w:rPr>
        </w:r>
        <w:r>
          <w:rPr>
            <w:noProof/>
            <w:webHidden/>
          </w:rPr>
          <w:fldChar w:fldCharType="separate"/>
        </w:r>
        <w:r w:rsidR="008A5071">
          <w:rPr>
            <w:noProof/>
            <w:webHidden/>
          </w:rPr>
          <w:t>7</w:t>
        </w:r>
        <w:r>
          <w:rPr>
            <w:noProof/>
            <w:webHidden/>
          </w:rPr>
          <w:fldChar w:fldCharType="end"/>
        </w:r>
      </w:hyperlink>
    </w:p>
    <w:p w:rsidR="00893A1F" w:rsidRPr="006A52EA" w:rsidRDefault="00893A1F">
      <w:pPr>
        <w:pStyle w:val="TOC2"/>
        <w:tabs>
          <w:tab w:val="left" w:pos="800"/>
        </w:tabs>
        <w:rPr>
          <w:rFonts w:ascii="Calibri" w:hAnsi="Calibri"/>
          <w:noProof/>
          <w:sz w:val="22"/>
          <w:szCs w:val="22"/>
        </w:rPr>
      </w:pPr>
      <w:hyperlink w:anchor="_Toc449451533" w:history="1">
        <w:r w:rsidRPr="009A46B9">
          <w:rPr>
            <w:rStyle w:val="Hyperlink"/>
            <w:noProof/>
          </w:rPr>
          <w:t>1.2</w:t>
        </w:r>
        <w:r w:rsidRPr="006A52EA">
          <w:rPr>
            <w:rFonts w:ascii="Calibri" w:hAnsi="Calibri"/>
            <w:noProof/>
            <w:sz w:val="22"/>
            <w:szCs w:val="22"/>
          </w:rPr>
          <w:tab/>
        </w:r>
        <w:r w:rsidRPr="009A46B9">
          <w:rPr>
            <w:rStyle w:val="Hyperlink"/>
            <w:noProof/>
          </w:rPr>
          <w:t>Entity resource statement</w:t>
        </w:r>
        <w:r>
          <w:rPr>
            <w:noProof/>
            <w:webHidden/>
          </w:rPr>
          <w:tab/>
        </w:r>
        <w:r>
          <w:rPr>
            <w:noProof/>
            <w:webHidden/>
          </w:rPr>
          <w:fldChar w:fldCharType="begin"/>
        </w:r>
        <w:r>
          <w:rPr>
            <w:noProof/>
            <w:webHidden/>
          </w:rPr>
          <w:instrText xml:space="preserve"> PAGEREF _Toc449451533 \h </w:instrText>
        </w:r>
        <w:r>
          <w:rPr>
            <w:noProof/>
            <w:webHidden/>
          </w:rPr>
        </w:r>
        <w:r>
          <w:rPr>
            <w:noProof/>
            <w:webHidden/>
          </w:rPr>
          <w:fldChar w:fldCharType="separate"/>
        </w:r>
        <w:r w:rsidR="008A5071">
          <w:rPr>
            <w:noProof/>
            <w:webHidden/>
          </w:rPr>
          <w:t>8</w:t>
        </w:r>
        <w:r>
          <w:rPr>
            <w:noProof/>
            <w:webHidden/>
          </w:rPr>
          <w:fldChar w:fldCharType="end"/>
        </w:r>
      </w:hyperlink>
    </w:p>
    <w:p w:rsidR="00893A1F" w:rsidRPr="006A52EA" w:rsidRDefault="00893A1F">
      <w:pPr>
        <w:pStyle w:val="TOC1"/>
        <w:rPr>
          <w:rFonts w:ascii="Calibri" w:hAnsi="Calibri"/>
          <w:b w:val="0"/>
          <w:noProof/>
          <w:sz w:val="22"/>
          <w:szCs w:val="22"/>
        </w:rPr>
      </w:pPr>
      <w:hyperlink w:anchor="_Toc449451534" w:history="1">
        <w:r w:rsidRPr="009A46B9">
          <w:rPr>
            <w:rStyle w:val="Hyperlink"/>
            <w:noProof/>
          </w:rPr>
          <w:t>Section 2: Outcome and planned performance</w:t>
        </w:r>
        <w:r>
          <w:rPr>
            <w:noProof/>
            <w:webHidden/>
          </w:rPr>
          <w:tab/>
        </w:r>
        <w:r>
          <w:rPr>
            <w:noProof/>
            <w:webHidden/>
          </w:rPr>
          <w:fldChar w:fldCharType="begin"/>
        </w:r>
        <w:r>
          <w:rPr>
            <w:noProof/>
            <w:webHidden/>
          </w:rPr>
          <w:instrText xml:space="preserve"> PAGEREF _Toc449451534 \h </w:instrText>
        </w:r>
        <w:r>
          <w:rPr>
            <w:noProof/>
            <w:webHidden/>
          </w:rPr>
        </w:r>
        <w:r>
          <w:rPr>
            <w:noProof/>
            <w:webHidden/>
          </w:rPr>
          <w:fldChar w:fldCharType="separate"/>
        </w:r>
        <w:r w:rsidR="008A5071">
          <w:rPr>
            <w:noProof/>
            <w:webHidden/>
          </w:rPr>
          <w:t>9</w:t>
        </w:r>
        <w:r>
          <w:rPr>
            <w:noProof/>
            <w:webHidden/>
          </w:rPr>
          <w:fldChar w:fldCharType="end"/>
        </w:r>
      </w:hyperlink>
    </w:p>
    <w:p w:rsidR="00893A1F" w:rsidRPr="006A52EA" w:rsidRDefault="00893A1F">
      <w:pPr>
        <w:pStyle w:val="TOC2"/>
        <w:tabs>
          <w:tab w:val="left" w:pos="800"/>
        </w:tabs>
        <w:rPr>
          <w:rFonts w:ascii="Calibri" w:hAnsi="Calibri"/>
          <w:noProof/>
          <w:sz w:val="22"/>
          <w:szCs w:val="22"/>
        </w:rPr>
      </w:pPr>
      <w:hyperlink w:anchor="_Toc449451535" w:history="1">
        <w:r w:rsidRPr="009A46B9">
          <w:rPr>
            <w:rStyle w:val="Hyperlink"/>
            <w:noProof/>
          </w:rPr>
          <w:t xml:space="preserve">2.1 </w:t>
        </w:r>
        <w:r w:rsidRPr="006A52EA">
          <w:rPr>
            <w:rFonts w:ascii="Calibri" w:hAnsi="Calibri"/>
            <w:noProof/>
            <w:sz w:val="22"/>
            <w:szCs w:val="22"/>
          </w:rPr>
          <w:tab/>
        </w:r>
        <w:r w:rsidRPr="009A46B9">
          <w:rPr>
            <w:rStyle w:val="Hyperlink"/>
            <w:noProof/>
          </w:rPr>
          <w:t>Budgeted expenses and performance</w:t>
        </w:r>
        <w:r>
          <w:rPr>
            <w:noProof/>
            <w:webHidden/>
          </w:rPr>
          <w:tab/>
        </w:r>
        <w:r>
          <w:rPr>
            <w:noProof/>
            <w:webHidden/>
          </w:rPr>
          <w:fldChar w:fldCharType="begin"/>
        </w:r>
        <w:r>
          <w:rPr>
            <w:noProof/>
            <w:webHidden/>
          </w:rPr>
          <w:instrText xml:space="preserve"> PAGEREF _Toc449451535 \h </w:instrText>
        </w:r>
        <w:r>
          <w:rPr>
            <w:noProof/>
            <w:webHidden/>
          </w:rPr>
        </w:r>
        <w:r>
          <w:rPr>
            <w:noProof/>
            <w:webHidden/>
          </w:rPr>
          <w:fldChar w:fldCharType="separate"/>
        </w:r>
        <w:r w:rsidR="008A5071">
          <w:rPr>
            <w:noProof/>
            <w:webHidden/>
          </w:rPr>
          <w:t>9</w:t>
        </w:r>
        <w:r>
          <w:rPr>
            <w:noProof/>
            <w:webHidden/>
          </w:rPr>
          <w:fldChar w:fldCharType="end"/>
        </w:r>
      </w:hyperlink>
    </w:p>
    <w:p w:rsidR="00893A1F" w:rsidRPr="006A52EA" w:rsidRDefault="00893A1F">
      <w:pPr>
        <w:pStyle w:val="TOC1"/>
        <w:rPr>
          <w:rFonts w:ascii="Calibri" w:hAnsi="Calibri"/>
          <w:b w:val="0"/>
          <w:noProof/>
          <w:sz w:val="22"/>
          <w:szCs w:val="22"/>
        </w:rPr>
      </w:pPr>
      <w:hyperlink w:anchor="_Toc449451536" w:history="1">
        <w:r w:rsidRPr="009A46B9">
          <w:rPr>
            <w:rStyle w:val="Hyperlink"/>
            <w:noProof/>
          </w:rPr>
          <w:t>Section 3: Budgeted financial statements</w:t>
        </w:r>
        <w:r>
          <w:rPr>
            <w:noProof/>
            <w:webHidden/>
          </w:rPr>
          <w:tab/>
        </w:r>
        <w:r>
          <w:rPr>
            <w:noProof/>
            <w:webHidden/>
          </w:rPr>
          <w:fldChar w:fldCharType="begin"/>
        </w:r>
        <w:r>
          <w:rPr>
            <w:noProof/>
            <w:webHidden/>
          </w:rPr>
          <w:instrText xml:space="preserve"> PAGEREF _Toc449451536 \h </w:instrText>
        </w:r>
        <w:r>
          <w:rPr>
            <w:noProof/>
            <w:webHidden/>
          </w:rPr>
        </w:r>
        <w:r>
          <w:rPr>
            <w:noProof/>
            <w:webHidden/>
          </w:rPr>
          <w:fldChar w:fldCharType="separate"/>
        </w:r>
        <w:r w:rsidR="008A5071">
          <w:rPr>
            <w:noProof/>
            <w:webHidden/>
          </w:rPr>
          <w:t>11</w:t>
        </w:r>
        <w:r>
          <w:rPr>
            <w:noProof/>
            <w:webHidden/>
          </w:rPr>
          <w:fldChar w:fldCharType="end"/>
        </w:r>
      </w:hyperlink>
    </w:p>
    <w:p w:rsidR="00893A1F" w:rsidRDefault="00893A1F">
      <w:pPr>
        <w:pStyle w:val="TOC2"/>
        <w:tabs>
          <w:tab w:val="left" w:pos="800"/>
        </w:tabs>
        <w:rPr>
          <w:rStyle w:val="Hyperlink"/>
          <w:noProof/>
        </w:rPr>
      </w:pPr>
      <w:hyperlink w:anchor="_Toc449451537" w:history="1">
        <w:r w:rsidRPr="009A46B9">
          <w:rPr>
            <w:rStyle w:val="Hyperlink"/>
            <w:noProof/>
          </w:rPr>
          <w:t>3.1</w:t>
        </w:r>
        <w:r w:rsidRPr="006A52EA">
          <w:rPr>
            <w:rFonts w:ascii="Calibri" w:hAnsi="Calibri"/>
            <w:noProof/>
            <w:sz w:val="22"/>
            <w:szCs w:val="22"/>
          </w:rPr>
          <w:tab/>
        </w:r>
        <w:r w:rsidRPr="009A46B9">
          <w:rPr>
            <w:rStyle w:val="Hyperlink"/>
            <w:noProof/>
          </w:rPr>
          <w:t>Budgeted financial statements</w:t>
        </w:r>
        <w:r>
          <w:rPr>
            <w:noProof/>
            <w:webHidden/>
          </w:rPr>
          <w:tab/>
        </w:r>
        <w:r>
          <w:rPr>
            <w:noProof/>
            <w:webHidden/>
          </w:rPr>
          <w:fldChar w:fldCharType="begin"/>
        </w:r>
        <w:r>
          <w:rPr>
            <w:noProof/>
            <w:webHidden/>
          </w:rPr>
          <w:instrText xml:space="preserve"> PAGEREF _Toc449451537 \h </w:instrText>
        </w:r>
        <w:r>
          <w:rPr>
            <w:noProof/>
            <w:webHidden/>
          </w:rPr>
        </w:r>
        <w:r>
          <w:rPr>
            <w:noProof/>
            <w:webHidden/>
          </w:rPr>
          <w:fldChar w:fldCharType="separate"/>
        </w:r>
        <w:r w:rsidR="008A5071">
          <w:rPr>
            <w:noProof/>
            <w:webHidden/>
          </w:rPr>
          <w:t>11</w:t>
        </w:r>
        <w:r>
          <w:rPr>
            <w:noProof/>
            <w:webHidden/>
          </w:rPr>
          <w:fldChar w:fldCharType="end"/>
        </w:r>
      </w:hyperlink>
    </w:p>
    <w:p w:rsidR="00F220D3" w:rsidRPr="00F220D3" w:rsidRDefault="00F220D3" w:rsidP="00F220D3">
      <w:pPr>
        <w:rPr>
          <w:noProof/>
        </w:rPr>
      </w:pPr>
    </w:p>
    <w:p w:rsidR="00AF0301" w:rsidRDefault="00AF0301" w:rsidP="00AF0301">
      <w:pPr>
        <w:rPr>
          <w:noProof/>
        </w:rPr>
        <w:sectPr w:rsidR="00AF0301" w:rsidSect="00F220D3">
          <w:headerReference w:type="first" r:id="rId44"/>
          <w:pgSz w:w="11906" w:h="16838" w:code="9"/>
          <w:pgMar w:top="2466" w:right="2098" w:bottom="2466" w:left="2098" w:header="1899" w:footer="1899" w:gutter="0"/>
          <w:cols w:space="708"/>
          <w:titlePg/>
          <w:docGrid w:linePitch="360"/>
        </w:sectPr>
      </w:pPr>
    </w:p>
    <w:p w:rsidR="00257FF4" w:rsidRDefault="00915F49" w:rsidP="00BC0E44">
      <w:pPr>
        <w:pStyle w:val="Heading1"/>
      </w:pPr>
      <w:r>
        <w:lastRenderedPageBreak/>
        <w:fldChar w:fldCharType="end"/>
      </w:r>
      <w:r w:rsidR="005F2CCC">
        <w:t>Parliamentary Budget Office</w:t>
      </w:r>
    </w:p>
    <w:p w:rsidR="00257FF4" w:rsidRPr="002C4D41" w:rsidRDefault="00257FF4" w:rsidP="00257FF4">
      <w:pPr>
        <w:pStyle w:val="Heading2"/>
      </w:pPr>
      <w:bookmarkStart w:id="19" w:name="_Toc190682308"/>
      <w:bookmarkStart w:id="20" w:name="_Toc190682526"/>
      <w:bookmarkStart w:id="21" w:name="_Toc444523508"/>
      <w:bookmarkStart w:id="22" w:name="_Toc449451531"/>
      <w:r w:rsidRPr="002C4D41">
        <w:t xml:space="preserve">Section 1: </w:t>
      </w:r>
      <w:r w:rsidR="007E6BBD" w:rsidRPr="002C4D41">
        <w:t xml:space="preserve">Entity </w:t>
      </w:r>
      <w:r w:rsidR="00605163" w:rsidRPr="002C4D41">
        <w:t>overview and resources</w:t>
      </w:r>
      <w:bookmarkEnd w:id="19"/>
      <w:bookmarkEnd w:id="20"/>
      <w:bookmarkEnd w:id="21"/>
      <w:bookmarkEnd w:id="22"/>
    </w:p>
    <w:p w:rsidR="00257FF4" w:rsidRDefault="00257FF4" w:rsidP="00257FF4">
      <w:pPr>
        <w:pStyle w:val="Heading3"/>
      </w:pPr>
      <w:bookmarkStart w:id="23" w:name="_Toc190682309"/>
      <w:bookmarkStart w:id="24" w:name="_Toc190682527"/>
      <w:bookmarkStart w:id="25" w:name="_Toc444523509"/>
      <w:bookmarkStart w:id="26" w:name="_Toc449451532"/>
      <w:r>
        <w:t>1.1</w:t>
      </w:r>
      <w:r>
        <w:tab/>
        <w:t xml:space="preserve">Strategic </w:t>
      </w:r>
      <w:r w:rsidR="00D81071">
        <w:t>direction</w:t>
      </w:r>
      <w:bookmarkEnd w:id="23"/>
      <w:bookmarkEnd w:id="24"/>
      <w:r w:rsidR="00D81071">
        <w:t xml:space="preserve"> </w:t>
      </w:r>
      <w:r w:rsidR="00605163">
        <w:t>statement</w:t>
      </w:r>
      <w:bookmarkEnd w:id="25"/>
      <w:bookmarkEnd w:id="26"/>
    </w:p>
    <w:p w:rsidR="005F2CCC" w:rsidRDefault="005F2CCC" w:rsidP="002D4C55">
      <w:r>
        <w:t>The</w:t>
      </w:r>
      <w:r>
        <w:rPr>
          <w:spacing w:val="1"/>
        </w:rPr>
        <w:t xml:space="preserve"> </w:t>
      </w:r>
      <w:r>
        <w:t>Parliamentary</w:t>
      </w:r>
      <w:r>
        <w:rPr>
          <w:spacing w:val="1"/>
        </w:rPr>
        <w:t xml:space="preserve"> </w:t>
      </w:r>
      <w:r>
        <w:t>Budget</w:t>
      </w:r>
      <w:r>
        <w:rPr>
          <w:spacing w:val="1"/>
        </w:rPr>
        <w:t xml:space="preserve"> </w:t>
      </w:r>
      <w:r>
        <w:t>Office</w:t>
      </w:r>
      <w:r>
        <w:rPr>
          <w:spacing w:val="1"/>
        </w:rPr>
        <w:t xml:space="preserve"> </w:t>
      </w:r>
      <w:r>
        <w:t>(PBO),</w:t>
      </w:r>
      <w:r>
        <w:rPr>
          <w:spacing w:val="1"/>
        </w:rPr>
        <w:t xml:space="preserve"> </w:t>
      </w:r>
      <w:r>
        <w:t>as</w:t>
      </w:r>
      <w:r>
        <w:rPr>
          <w:spacing w:val="1"/>
        </w:rPr>
        <w:t xml:space="preserve"> </w:t>
      </w:r>
      <w:r>
        <w:t>an</w:t>
      </w:r>
      <w:r>
        <w:rPr>
          <w:spacing w:val="49"/>
        </w:rPr>
        <w:t xml:space="preserve"> </w:t>
      </w:r>
      <w:r>
        <w:t>independent</w:t>
      </w:r>
      <w:r>
        <w:rPr>
          <w:spacing w:val="1"/>
        </w:rPr>
        <w:t xml:space="preserve"> </w:t>
      </w:r>
      <w:r>
        <w:t>and</w:t>
      </w:r>
      <w:r>
        <w:rPr>
          <w:spacing w:val="1"/>
        </w:rPr>
        <w:t xml:space="preserve"> </w:t>
      </w:r>
      <w:r w:rsidR="002D4C55">
        <w:t>non</w:t>
      </w:r>
      <w:r w:rsidR="002D4C55">
        <w:noBreakHyphen/>
      </w:r>
      <w:r>
        <w:t>partisan</w:t>
      </w:r>
      <w:r>
        <w:rPr>
          <w:spacing w:val="23"/>
        </w:rPr>
        <w:t xml:space="preserve"> </w:t>
      </w:r>
      <w:r>
        <w:t>institution,</w:t>
      </w:r>
      <w:r>
        <w:rPr>
          <w:spacing w:val="35"/>
        </w:rPr>
        <w:t xml:space="preserve"> </w:t>
      </w:r>
      <w:r>
        <w:t>engages</w:t>
      </w:r>
      <w:r>
        <w:rPr>
          <w:spacing w:val="35"/>
        </w:rPr>
        <w:t xml:space="preserve"> </w:t>
      </w:r>
      <w:r>
        <w:t>with</w:t>
      </w:r>
      <w:r>
        <w:rPr>
          <w:spacing w:val="34"/>
        </w:rPr>
        <w:t xml:space="preserve"> </w:t>
      </w:r>
      <w:r>
        <w:t>the</w:t>
      </w:r>
      <w:r>
        <w:rPr>
          <w:spacing w:val="35"/>
        </w:rPr>
        <w:t xml:space="preserve"> </w:t>
      </w:r>
      <w:r>
        <w:t>Parliament</w:t>
      </w:r>
      <w:r>
        <w:rPr>
          <w:spacing w:val="34"/>
        </w:rPr>
        <w:t xml:space="preserve"> </w:t>
      </w:r>
      <w:r>
        <w:t>to</w:t>
      </w:r>
      <w:r>
        <w:rPr>
          <w:spacing w:val="35"/>
        </w:rPr>
        <w:t xml:space="preserve"> </w:t>
      </w:r>
      <w:r>
        <w:t>help</w:t>
      </w:r>
      <w:r>
        <w:rPr>
          <w:spacing w:val="35"/>
        </w:rPr>
        <w:t xml:space="preserve"> </w:t>
      </w:r>
      <w:r>
        <w:t>improve</w:t>
      </w:r>
      <w:r>
        <w:rPr>
          <w:spacing w:val="35"/>
        </w:rPr>
        <w:t xml:space="preserve"> </w:t>
      </w:r>
      <w:r>
        <w:t>the</w:t>
      </w:r>
      <w:r>
        <w:rPr>
          <w:spacing w:val="35"/>
        </w:rPr>
        <w:t xml:space="preserve"> </w:t>
      </w:r>
      <w:r>
        <w:t>integrity</w:t>
      </w:r>
      <w:r>
        <w:rPr>
          <w:spacing w:val="35"/>
        </w:rPr>
        <w:t xml:space="preserve"> </w:t>
      </w:r>
      <w:r>
        <w:t>of</w:t>
      </w:r>
      <w:r>
        <w:rPr>
          <w:spacing w:val="35"/>
        </w:rPr>
        <w:t xml:space="preserve"> </w:t>
      </w:r>
      <w:r>
        <w:t>the</w:t>
      </w:r>
      <w:r>
        <w:rPr>
          <w:spacing w:val="35"/>
        </w:rPr>
        <w:t xml:space="preserve"> </w:t>
      </w:r>
      <w:r>
        <w:t>policy</w:t>
      </w:r>
      <w:r>
        <w:rPr>
          <w:spacing w:val="67"/>
        </w:rPr>
        <w:t xml:space="preserve"> </w:t>
      </w:r>
      <w:r>
        <w:t>development</w:t>
      </w:r>
      <w:r>
        <w:rPr>
          <w:spacing w:val="17"/>
        </w:rPr>
        <w:t xml:space="preserve"> </w:t>
      </w:r>
      <w:r>
        <w:t>process,</w:t>
      </w:r>
      <w:r>
        <w:rPr>
          <w:spacing w:val="18"/>
        </w:rPr>
        <w:t xml:space="preserve"> </w:t>
      </w:r>
      <w:r>
        <w:t>better</w:t>
      </w:r>
      <w:r>
        <w:rPr>
          <w:spacing w:val="18"/>
        </w:rPr>
        <w:t xml:space="preserve"> </w:t>
      </w:r>
      <w:r>
        <w:t>inform</w:t>
      </w:r>
      <w:r>
        <w:rPr>
          <w:spacing w:val="18"/>
        </w:rPr>
        <w:t xml:space="preserve"> </w:t>
      </w:r>
      <w:r>
        <w:t>public</w:t>
      </w:r>
      <w:r>
        <w:rPr>
          <w:spacing w:val="18"/>
        </w:rPr>
        <w:t xml:space="preserve"> </w:t>
      </w:r>
      <w:r>
        <w:t>policy</w:t>
      </w:r>
      <w:r>
        <w:rPr>
          <w:spacing w:val="18"/>
        </w:rPr>
        <w:t xml:space="preserve"> </w:t>
      </w:r>
      <w:r>
        <w:t>debates</w:t>
      </w:r>
      <w:r>
        <w:rPr>
          <w:spacing w:val="18"/>
        </w:rPr>
        <w:t xml:space="preserve"> </w:t>
      </w:r>
      <w:r>
        <w:t>and</w:t>
      </w:r>
      <w:r>
        <w:rPr>
          <w:spacing w:val="16"/>
        </w:rPr>
        <w:t xml:space="preserve"> </w:t>
      </w:r>
      <w:r>
        <w:t>strengthen</w:t>
      </w:r>
      <w:r>
        <w:rPr>
          <w:spacing w:val="17"/>
        </w:rPr>
        <w:t xml:space="preserve"> </w:t>
      </w:r>
      <w:r>
        <w:t>budget</w:t>
      </w:r>
      <w:r>
        <w:rPr>
          <w:spacing w:val="18"/>
        </w:rPr>
        <w:t xml:space="preserve"> </w:t>
      </w:r>
      <w:r>
        <w:t>and</w:t>
      </w:r>
      <w:r>
        <w:rPr>
          <w:spacing w:val="27"/>
        </w:rPr>
        <w:t xml:space="preserve"> </w:t>
      </w:r>
      <w:r>
        <w:t>fiscal policy transparency.</w:t>
      </w:r>
    </w:p>
    <w:p w:rsidR="005F2CCC" w:rsidRDefault="005F2CCC" w:rsidP="002D4C55">
      <w:pPr>
        <w:rPr>
          <w:rFonts w:cs="Book Antiqua"/>
        </w:rPr>
      </w:pPr>
      <w:r>
        <w:rPr>
          <w:rFonts w:cs="Book Antiqua"/>
        </w:rPr>
        <w:t>To</w:t>
      </w:r>
      <w:r>
        <w:rPr>
          <w:rFonts w:cs="Book Antiqua"/>
          <w:spacing w:val="1"/>
        </w:rPr>
        <w:t xml:space="preserve"> </w:t>
      </w:r>
      <w:r>
        <w:rPr>
          <w:rFonts w:cs="Book Antiqua"/>
        </w:rPr>
        <w:t>support the 201</w:t>
      </w:r>
      <w:r>
        <w:rPr>
          <w:rFonts w:cs="Book Antiqua"/>
          <w:lang w:val="en-US"/>
        </w:rPr>
        <w:t>6</w:t>
      </w:r>
      <w:r w:rsidR="000B60E4">
        <w:rPr>
          <w:rFonts w:cs="Book Antiqua"/>
          <w:lang w:val="en-US"/>
        </w:rPr>
        <w:t>–</w:t>
      </w:r>
      <w:r>
        <w:rPr>
          <w:rFonts w:cs="Book Antiqua"/>
        </w:rPr>
        <w:t>17 Portfolio Budget Statements</w:t>
      </w:r>
      <w:r>
        <w:rPr>
          <w:rFonts w:cs="Book Antiqua"/>
          <w:spacing w:val="1"/>
        </w:rPr>
        <w:t xml:space="preserve"> </w:t>
      </w:r>
      <w:r w:rsidR="000B60E4">
        <w:rPr>
          <w:rFonts w:cs="Book Antiqua"/>
          <w:spacing w:val="1"/>
        </w:rPr>
        <w:t xml:space="preserve">(PB Statements) </w:t>
      </w:r>
      <w:r>
        <w:rPr>
          <w:rFonts w:cs="Book Antiqua"/>
        </w:rPr>
        <w:t>and in</w:t>
      </w:r>
      <w:r>
        <w:rPr>
          <w:rFonts w:cs="Book Antiqua"/>
          <w:spacing w:val="1"/>
        </w:rPr>
        <w:t xml:space="preserve"> </w:t>
      </w:r>
      <w:r>
        <w:rPr>
          <w:rFonts w:cs="Book Antiqua"/>
        </w:rPr>
        <w:t>accordance</w:t>
      </w:r>
      <w:r>
        <w:rPr>
          <w:rFonts w:cs="Book Antiqua"/>
          <w:spacing w:val="1"/>
        </w:rPr>
        <w:t xml:space="preserve"> </w:t>
      </w:r>
      <w:r>
        <w:rPr>
          <w:rFonts w:cs="Book Antiqua"/>
        </w:rPr>
        <w:t>with</w:t>
      </w:r>
      <w:r>
        <w:rPr>
          <w:rFonts w:cs="Book Antiqua"/>
          <w:spacing w:val="53"/>
        </w:rPr>
        <w:t xml:space="preserve"> </w:t>
      </w:r>
      <w:r>
        <w:rPr>
          <w:rFonts w:cs="Book Antiqua"/>
        </w:rPr>
        <w:t>section 64Q</w:t>
      </w:r>
      <w:r>
        <w:rPr>
          <w:rFonts w:cs="Book Antiqua"/>
          <w:spacing w:val="16"/>
        </w:rPr>
        <w:t xml:space="preserve"> </w:t>
      </w:r>
      <w:r>
        <w:rPr>
          <w:rFonts w:cs="Book Antiqua"/>
        </w:rPr>
        <w:t>of</w:t>
      </w:r>
      <w:r>
        <w:rPr>
          <w:rFonts w:cs="Book Antiqua"/>
          <w:spacing w:val="16"/>
        </w:rPr>
        <w:t xml:space="preserve"> </w:t>
      </w:r>
      <w:r>
        <w:rPr>
          <w:rFonts w:cs="Book Antiqua"/>
        </w:rPr>
        <w:t>the</w:t>
      </w:r>
      <w:r>
        <w:rPr>
          <w:rFonts w:cs="Book Antiqua"/>
          <w:spacing w:val="16"/>
        </w:rPr>
        <w:t xml:space="preserve"> </w:t>
      </w:r>
      <w:r>
        <w:rPr>
          <w:rFonts w:cs="Book Antiqua"/>
          <w:i/>
        </w:rPr>
        <w:t>Parliamentary</w:t>
      </w:r>
      <w:r>
        <w:rPr>
          <w:rFonts w:cs="Book Antiqua"/>
          <w:i/>
          <w:spacing w:val="16"/>
        </w:rPr>
        <w:t xml:space="preserve"> </w:t>
      </w:r>
      <w:r>
        <w:rPr>
          <w:rFonts w:cs="Book Antiqua"/>
          <w:i/>
        </w:rPr>
        <w:t>Service</w:t>
      </w:r>
      <w:r>
        <w:rPr>
          <w:rFonts w:cs="Book Antiqua"/>
          <w:i/>
          <w:spacing w:val="14"/>
        </w:rPr>
        <w:t xml:space="preserve"> </w:t>
      </w:r>
      <w:r>
        <w:rPr>
          <w:rFonts w:cs="Book Antiqua"/>
          <w:i/>
        </w:rPr>
        <w:t>Act</w:t>
      </w:r>
      <w:r>
        <w:rPr>
          <w:rFonts w:cs="Book Antiqua"/>
          <w:i/>
          <w:spacing w:val="14"/>
        </w:rPr>
        <w:t xml:space="preserve"> </w:t>
      </w:r>
      <w:r>
        <w:rPr>
          <w:rFonts w:cs="Book Antiqua"/>
          <w:i/>
        </w:rPr>
        <w:t>1999</w:t>
      </w:r>
      <w:r>
        <w:rPr>
          <w:rFonts w:cs="Book Antiqua"/>
        </w:rPr>
        <w:t>,</w:t>
      </w:r>
      <w:r>
        <w:rPr>
          <w:rFonts w:cs="Book Antiqua"/>
          <w:spacing w:val="15"/>
        </w:rPr>
        <w:t xml:space="preserve"> </w:t>
      </w:r>
      <w:r>
        <w:rPr>
          <w:rFonts w:cs="Book Antiqua"/>
        </w:rPr>
        <w:t>the</w:t>
      </w:r>
      <w:r>
        <w:rPr>
          <w:rFonts w:cs="Book Antiqua"/>
          <w:spacing w:val="14"/>
        </w:rPr>
        <w:t xml:space="preserve"> </w:t>
      </w:r>
      <w:r>
        <w:rPr>
          <w:rFonts w:cs="Book Antiqua"/>
        </w:rPr>
        <w:t>Parliamentary</w:t>
      </w:r>
      <w:r>
        <w:rPr>
          <w:rFonts w:cs="Book Antiqua"/>
          <w:spacing w:val="15"/>
        </w:rPr>
        <w:t xml:space="preserve"> </w:t>
      </w:r>
      <w:r>
        <w:rPr>
          <w:rFonts w:cs="Book Antiqua"/>
        </w:rPr>
        <w:t>Budget</w:t>
      </w:r>
      <w:r>
        <w:rPr>
          <w:rFonts w:cs="Book Antiqua"/>
          <w:spacing w:val="15"/>
        </w:rPr>
        <w:t xml:space="preserve"> </w:t>
      </w:r>
      <w:r>
        <w:rPr>
          <w:rFonts w:cs="Book Antiqua"/>
        </w:rPr>
        <w:t>Officer,</w:t>
      </w:r>
      <w:r>
        <w:rPr>
          <w:rFonts w:cs="Book Antiqua"/>
          <w:spacing w:val="15"/>
        </w:rPr>
        <w:t xml:space="preserve"> </w:t>
      </w:r>
      <w:r>
        <w:rPr>
          <w:rFonts w:cs="Book Antiqua"/>
        </w:rPr>
        <w:t>in</w:t>
      </w:r>
      <w:r>
        <w:rPr>
          <w:rFonts w:cs="Book Antiqua"/>
          <w:spacing w:val="34"/>
        </w:rPr>
        <w:t xml:space="preserve"> </w:t>
      </w:r>
      <w:r>
        <w:rPr>
          <w:rFonts w:cs="Book Antiqua"/>
        </w:rPr>
        <w:t>consultation</w:t>
      </w:r>
      <w:r>
        <w:rPr>
          <w:rFonts w:cs="Book Antiqua"/>
          <w:spacing w:val="26"/>
        </w:rPr>
        <w:t xml:space="preserve"> </w:t>
      </w:r>
      <w:r>
        <w:rPr>
          <w:rFonts w:cs="Book Antiqua"/>
        </w:rPr>
        <w:t>with</w:t>
      </w:r>
      <w:r>
        <w:rPr>
          <w:rFonts w:cs="Book Antiqua"/>
          <w:spacing w:val="27"/>
        </w:rPr>
        <w:t xml:space="preserve"> </w:t>
      </w:r>
      <w:r>
        <w:rPr>
          <w:rFonts w:cs="Book Antiqua"/>
        </w:rPr>
        <w:t>the</w:t>
      </w:r>
      <w:r>
        <w:rPr>
          <w:rFonts w:cs="Book Antiqua"/>
          <w:spacing w:val="27"/>
        </w:rPr>
        <w:t xml:space="preserve"> </w:t>
      </w:r>
      <w:r>
        <w:rPr>
          <w:rFonts w:cs="Book Antiqua"/>
        </w:rPr>
        <w:t>Joint</w:t>
      </w:r>
      <w:r>
        <w:rPr>
          <w:rFonts w:cs="Book Antiqua"/>
          <w:spacing w:val="27"/>
        </w:rPr>
        <w:t xml:space="preserve"> </w:t>
      </w:r>
      <w:r>
        <w:rPr>
          <w:rFonts w:cs="Book Antiqua"/>
        </w:rPr>
        <w:t>Committee</w:t>
      </w:r>
      <w:r>
        <w:rPr>
          <w:rFonts w:cs="Book Antiqua"/>
          <w:spacing w:val="27"/>
        </w:rPr>
        <w:t xml:space="preserve"> </w:t>
      </w:r>
      <w:r>
        <w:rPr>
          <w:rFonts w:cs="Book Antiqua"/>
        </w:rPr>
        <w:t>of</w:t>
      </w:r>
      <w:r>
        <w:rPr>
          <w:rFonts w:cs="Book Antiqua"/>
          <w:spacing w:val="28"/>
        </w:rPr>
        <w:t xml:space="preserve"> </w:t>
      </w:r>
      <w:r>
        <w:rPr>
          <w:rFonts w:cs="Book Antiqua"/>
        </w:rPr>
        <w:t>Public</w:t>
      </w:r>
      <w:r>
        <w:rPr>
          <w:rFonts w:cs="Book Antiqua"/>
          <w:spacing w:val="27"/>
        </w:rPr>
        <w:t xml:space="preserve"> </w:t>
      </w:r>
      <w:r>
        <w:rPr>
          <w:rFonts w:cs="Book Antiqua"/>
        </w:rPr>
        <w:t>Accounts</w:t>
      </w:r>
      <w:r>
        <w:rPr>
          <w:rFonts w:cs="Book Antiqua"/>
          <w:spacing w:val="26"/>
        </w:rPr>
        <w:t xml:space="preserve"> </w:t>
      </w:r>
      <w:r>
        <w:rPr>
          <w:rFonts w:cs="Book Antiqua"/>
        </w:rPr>
        <w:t>and</w:t>
      </w:r>
      <w:r>
        <w:rPr>
          <w:rFonts w:cs="Book Antiqua"/>
          <w:spacing w:val="26"/>
        </w:rPr>
        <w:t xml:space="preserve"> </w:t>
      </w:r>
      <w:r>
        <w:rPr>
          <w:rFonts w:cs="Book Antiqua"/>
        </w:rPr>
        <w:t>Audit,</w:t>
      </w:r>
      <w:r>
        <w:rPr>
          <w:rFonts w:cs="Book Antiqua"/>
          <w:spacing w:val="27"/>
        </w:rPr>
        <w:t xml:space="preserve"> </w:t>
      </w:r>
      <w:r>
        <w:rPr>
          <w:rFonts w:cs="Book Antiqua"/>
        </w:rPr>
        <w:t>will</w:t>
      </w:r>
      <w:r>
        <w:rPr>
          <w:rFonts w:cs="Book Antiqua"/>
          <w:spacing w:val="27"/>
        </w:rPr>
        <w:t xml:space="preserve"> </w:t>
      </w:r>
      <w:r>
        <w:rPr>
          <w:rFonts w:cs="Book Antiqua"/>
        </w:rPr>
        <w:t>prepare</w:t>
      </w:r>
      <w:r>
        <w:rPr>
          <w:rFonts w:cs="Book Antiqua"/>
          <w:spacing w:val="26"/>
        </w:rPr>
        <w:t xml:space="preserve"> </w:t>
      </w:r>
      <w:r>
        <w:rPr>
          <w:rFonts w:cs="Book Antiqua"/>
        </w:rPr>
        <w:t>a</w:t>
      </w:r>
      <w:r>
        <w:rPr>
          <w:rFonts w:cs="Book Antiqua"/>
          <w:spacing w:val="45"/>
        </w:rPr>
        <w:t xml:space="preserve"> </w:t>
      </w:r>
      <w:r>
        <w:rPr>
          <w:rFonts w:cs="Book Antiqua"/>
        </w:rPr>
        <w:t>work plan</w:t>
      </w:r>
      <w:r>
        <w:rPr>
          <w:rFonts w:cs="Book Antiqua"/>
          <w:spacing w:val="-2"/>
        </w:rPr>
        <w:t xml:space="preserve"> </w:t>
      </w:r>
      <w:r>
        <w:rPr>
          <w:rFonts w:cs="Book Antiqua"/>
        </w:rPr>
        <w:t>for the PBO</w:t>
      </w:r>
      <w:r>
        <w:rPr>
          <w:rFonts w:cs="Book Antiqua"/>
          <w:spacing w:val="-2"/>
        </w:rPr>
        <w:t xml:space="preserve"> </w:t>
      </w:r>
      <w:r>
        <w:rPr>
          <w:rFonts w:cs="Book Antiqua"/>
        </w:rPr>
        <w:t>setting out:</w:t>
      </w:r>
    </w:p>
    <w:p w:rsidR="005F2CCC" w:rsidRPr="0035464E" w:rsidRDefault="005F2CCC" w:rsidP="00D66144">
      <w:pPr>
        <w:pStyle w:val="PBObullet"/>
      </w:pPr>
      <w:r w:rsidRPr="0035464E">
        <w:t>the priorities of the PBO for the 201</w:t>
      </w:r>
      <w:r>
        <w:rPr>
          <w:lang w:val="en-US"/>
        </w:rPr>
        <w:t>6</w:t>
      </w:r>
      <w:r w:rsidR="000B60E4">
        <w:rPr>
          <w:lang w:val="en-US"/>
        </w:rPr>
        <w:t>–</w:t>
      </w:r>
      <w:r>
        <w:t>1</w:t>
      </w:r>
      <w:r>
        <w:rPr>
          <w:lang w:val="en-US"/>
        </w:rPr>
        <w:t>7</w:t>
      </w:r>
      <w:r w:rsidRPr="0035464E">
        <w:t xml:space="preserve"> financial year</w:t>
      </w:r>
    </w:p>
    <w:p w:rsidR="005F2CCC" w:rsidRPr="0035464E" w:rsidRDefault="005F2CCC" w:rsidP="009242A2">
      <w:pPr>
        <w:pStyle w:val="PBObullet"/>
      </w:pPr>
      <w:r w:rsidRPr="0035464E">
        <w:t>protocols for the allocation of the resources of the PBO during the financial year.</w:t>
      </w:r>
    </w:p>
    <w:p w:rsidR="005F2CCC" w:rsidRPr="006F2C48" w:rsidRDefault="005F2CCC" w:rsidP="009242A2">
      <w:pPr>
        <w:rPr>
          <w:rFonts w:cs="Book Antiqua"/>
        </w:rPr>
      </w:pPr>
      <w:r w:rsidRPr="00720F42">
        <w:rPr>
          <w:rFonts w:cs="Book Antiqua"/>
        </w:rPr>
        <w:t xml:space="preserve">The </w:t>
      </w:r>
      <w:r>
        <w:rPr>
          <w:rFonts w:cs="Book Antiqua"/>
        </w:rPr>
        <w:t>PBO’s 201</w:t>
      </w:r>
      <w:r>
        <w:rPr>
          <w:rFonts w:cs="Book Antiqua"/>
          <w:lang w:val="en-US"/>
        </w:rPr>
        <w:t>6</w:t>
      </w:r>
      <w:r w:rsidR="000B60E4">
        <w:rPr>
          <w:rFonts w:cs="Book Antiqua"/>
          <w:lang w:val="en-US"/>
        </w:rPr>
        <w:t>–</w:t>
      </w:r>
      <w:r>
        <w:rPr>
          <w:rFonts w:cs="Book Antiqua"/>
        </w:rPr>
        <w:t>1</w:t>
      </w:r>
      <w:r>
        <w:rPr>
          <w:rFonts w:cs="Book Antiqua"/>
          <w:lang w:val="en-US"/>
        </w:rPr>
        <w:t>7</w:t>
      </w:r>
      <w:r w:rsidRPr="006F2C48">
        <w:rPr>
          <w:rFonts w:cs="Book Antiqua"/>
        </w:rPr>
        <w:t xml:space="preserve"> </w:t>
      </w:r>
      <w:r w:rsidRPr="00720F42">
        <w:rPr>
          <w:rFonts w:cs="Book Antiqua"/>
        </w:rPr>
        <w:t>work</w:t>
      </w:r>
      <w:r w:rsidRPr="006F2C48">
        <w:rPr>
          <w:rFonts w:cs="Book Antiqua"/>
        </w:rPr>
        <w:t xml:space="preserve"> plan will</w:t>
      </w:r>
      <w:r w:rsidRPr="00720F42">
        <w:rPr>
          <w:rFonts w:cs="Book Antiqua"/>
        </w:rPr>
        <w:t xml:space="preserve"> </w:t>
      </w:r>
      <w:r w:rsidRPr="006F2C48">
        <w:rPr>
          <w:rFonts w:cs="Book Antiqua"/>
        </w:rPr>
        <w:t>be released</w:t>
      </w:r>
      <w:r w:rsidRPr="00720F42">
        <w:rPr>
          <w:rFonts w:cs="Book Antiqua"/>
        </w:rPr>
        <w:t xml:space="preserve"> </w:t>
      </w:r>
      <w:r w:rsidRPr="006F2C48">
        <w:rPr>
          <w:rFonts w:cs="Book Antiqua"/>
        </w:rPr>
        <w:t xml:space="preserve">before 1 </w:t>
      </w:r>
      <w:r>
        <w:rPr>
          <w:rFonts w:cs="Book Antiqua"/>
          <w:lang w:val="en-US"/>
        </w:rPr>
        <w:t>July</w:t>
      </w:r>
      <w:r w:rsidRPr="006F2C48">
        <w:rPr>
          <w:rFonts w:cs="Book Antiqua"/>
        </w:rPr>
        <w:t xml:space="preserve"> </w:t>
      </w:r>
      <w:r>
        <w:rPr>
          <w:rFonts w:cs="Book Antiqua"/>
        </w:rPr>
        <w:t>201</w:t>
      </w:r>
      <w:r>
        <w:rPr>
          <w:rFonts w:cs="Book Antiqua"/>
          <w:lang w:val="en-US"/>
        </w:rPr>
        <w:t>6</w:t>
      </w:r>
      <w:r w:rsidRPr="006F2C48">
        <w:rPr>
          <w:rFonts w:cs="Book Antiqua"/>
        </w:rPr>
        <w:t>.</w:t>
      </w:r>
    </w:p>
    <w:p w:rsidR="00D1024D" w:rsidRDefault="005F2CCC" w:rsidP="009242A2">
      <w:r w:rsidRPr="009242A2">
        <w:t xml:space="preserve">Ahead </w:t>
      </w:r>
      <w:r w:rsidRPr="00547A00">
        <w:t>of</w:t>
      </w:r>
      <w:r w:rsidRPr="009242A2">
        <w:t xml:space="preserve"> </w:t>
      </w:r>
      <w:r w:rsidRPr="00547A00">
        <w:t>the</w:t>
      </w:r>
      <w:r w:rsidRPr="009242A2">
        <w:t xml:space="preserve"> </w:t>
      </w:r>
      <w:r w:rsidRPr="00547A00">
        <w:t>release</w:t>
      </w:r>
      <w:r w:rsidRPr="009242A2">
        <w:t xml:space="preserve"> </w:t>
      </w:r>
      <w:r w:rsidRPr="00547A00">
        <w:t>of</w:t>
      </w:r>
      <w:r w:rsidRPr="009242A2">
        <w:t xml:space="preserve"> </w:t>
      </w:r>
      <w:r w:rsidRPr="00547A00">
        <w:t>the</w:t>
      </w:r>
      <w:r w:rsidRPr="009242A2">
        <w:t xml:space="preserve"> </w:t>
      </w:r>
      <w:r w:rsidRPr="00547A00">
        <w:t>201</w:t>
      </w:r>
      <w:r w:rsidRPr="009242A2">
        <w:t>6</w:t>
      </w:r>
      <w:r w:rsidR="000B60E4">
        <w:t>–</w:t>
      </w:r>
      <w:r w:rsidRPr="00547A00">
        <w:t>1</w:t>
      </w:r>
      <w:r w:rsidRPr="009242A2">
        <w:t xml:space="preserve">7 work </w:t>
      </w:r>
      <w:r w:rsidRPr="00547A00">
        <w:t>plan,</w:t>
      </w:r>
      <w:r w:rsidRPr="009242A2">
        <w:t xml:space="preserve"> </w:t>
      </w:r>
      <w:r w:rsidRPr="00547A00">
        <w:t>section</w:t>
      </w:r>
      <w:r w:rsidRPr="009242A2">
        <w:t xml:space="preserve"> 2 of </w:t>
      </w:r>
      <w:r w:rsidRPr="00547A00">
        <w:t>the</w:t>
      </w:r>
      <w:r w:rsidRPr="009242A2">
        <w:t xml:space="preserve"> </w:t>
      </w:r>
      <w:r w:rsidRPr="00547A00">
        <w:t>201</w:t>
      </w:r>
      <w:r w:rsidR="004C5ACC" w:rsidRPr="009242A2">
        <w:t>6</w:t>
      </w:r>
      <w:r w:rsidR="000B60E4">
        <w:t>–</w:t>
      </w:r>
      <w:r w:rsidRPr="00547A00">
        <w:t>1</w:t>
      </w:r>
      <w:r w:rsidR="004C5ACC" w:rsidRPr="009242A2">
        <w:t>7</w:t>
      </w:r>
      <w:r w:rsidR="00D66144">
        <w:t> </w:t>
      </w:r>
      <w:r w:rsidRPr="00547A00">
        <w:t>P</w:t>
      </w:r>
      <w:r w:rsidR="000B60E4">
        <w:t>B</w:t>
      </w:r>
      <w:r w:rsidRPr="009242A2">
        <w:t xml:space="preserve"> </w:t>
      </w:r>
      <w:r w:rsidRPr="00547A00">
        <w:t>Statements</w:t>
      </w:r>
      <w:r w:rsidRPr="009242A2">
        <w:t xml:space="preserve"> </w:t>
      </w:r>
      <w:r w:rsidRPr="00547A00">
        <w:t>provides</w:t>
      </w:r>
      <w:r w:rsidRPr="009242A2">
        <w:t xml:space="preserve"> </w:t>
      </w:r>
      <w:r w:rsidRPr="00547A00">
        <w:t>detail</w:t>
      </w:r>
      <w:r w:rsidRPr="009242A2">
        <w:t xml:space="preserve"> on the </w:t>
      </w:r>
      <w:r w:rsidRPr="00547A00">
        <w:t>PBO’s</w:t>
      </w:r>
      <w:r w:rsidRPr="009242A2">
        <w:t xml:space="preserve"> </w:t>
      </w:r>
      <w:r w:rsidRPr="00547A00">
        <w:t>outcome</w:t>
      </w:r>
      <w:r w:rsidRPr="009242A2">
        <w:t xml:space="preserve"> </w:t>
      </w:r>
      <w:r w:rsidRPr="00547A00">
        <w:t>and planned</w:t>
      </w:r>
      <w:r w:rsidRPr="009242A2">
        <w:t xml:space="preserve"> </w:t>
      </w:r>
      <w:r w:rsidRPr="00547A00">
        <w:t>performance.</w:t>
      </w:r>
    </w:p>
    <w:p w:rsidR="00F220D3" w:rsidRDefault="00F220D3" w:rsidP="009242A2">
      <w:pPr>
        <w:sectPr w:rsidR="00F220D3" w:rsidSect="00AF0301">
          <w:headerReference w:type="first" r:id="rId45"/>
          <w:type w:val="oddPage"/>
          <w:pgSz w:w="11906" w:h="16838" w:code="9"/>
          <w:pgMar w:top="2466" w:right="2098" w:bottom="2466" w:left="2098" w:header="1899" w:footer="1899" w:gutter="0"/>
          <w:cols w:space="708"/>
          <w:titlePg/>
          <w:docGrid w:linePitch="360"/>
        </w:sectPr>
      </w:pPr>
    </w:p>
    <w:p w:rsidR="00257FF4" w:rsidRDefault="00257FF4" w:rsidP="00257FF4">
      <w:pPr>
        <w:pStyle w:val="Heading3"/>
      </w:pPr>
      <w:bookmarkStart w:id="27" w:name="_Toc190682310"/>
      <w:bookmarkStart w:id="28" w:name="_Toc190682528"/>
      <w:bookmarkStart w:id="29" w:name="_Toc444523510"/>
      <w:bookmarkStart w:id="30" w:name="_Toc449451533"/>
      <w:r>
        <w:lastRenderedPageBreak/>
        <w:t>1.2</w:t>
      </w:r>
      <w:r>
        <w:tab/>
      </w:r>
      <w:r w:rsidR="007E6BBD">
        <w:t xml:space="preserve">Entity </w:t>
      </w:r>
      <w:r>
        <w:t>resource statement</w:t>
      </w:r>
      <w:bookmarkEnd w:id="27"/>
      <w:bookmarkEnd w:id="28"/>
      <w:bookmarkEnd w:id="29"/>
      <w:bookmarkEnd w:id="30"/>
    </w:p>
    <w:p w:rsidR="00257FF4" w:rsidRDefault="00257FF4" w:rsidP="00257FF4">
      <w:bookmarkStart w:id="31" w:name="OLE_LINK11"/>
      <w:bookmarkStart w:id="32" w:name="OLE_LINK12"/>
      <w:r>
        <w:t xml:space="preserve">Table 1.1 shows the total </w:t>
      </w:r>
      <w:r w:rsidR="006E4E86">
        <w:t>resources</w:t>
      </w:r>
      <w:r w:rsidR="00E1129E">
        <w:t xml:space="preserve"> </w:t>
      </w:r>
      <w:r>
        <w:t>from all</w:t>
      </w:r>
      <w:r w:rsidR="006E4E86">
        <w:t xml:space="preserve"> sources.  </w:t>
      </w:r>
      <w:r>
        <w:t xml:space="preserve">The table summarises how resources will be applied by </w:t>
      </w:r>
      <w:r w:rsidR="005F2CCC">
        <w:t>the PBO.</w:t>
      </w:r>
    </w:p>
    <w:bookmarkEnd w:id="31"/>
    <w:bookmarkEnd w:id="32"/>
    <w:p w:rsidR="009834A0" w:rsidRPr="005731D3" w:rsidRDefault="00FC14D9" w:rsidP="00A84EE0">
      <w:pPr>
        <w:pStyle w:val="TableHeading"/>
        <w:tabs>
          <w:tab w:val="left" w:pos="993"/>
        </w:tabs>
        <w:ind w:left="993" w:hanging="993"/>
      </w:pPr>
      <w:r w:rsidRPr="005731D3">
        <w:t>Table 1.1:</w:t>
      </w:r>
      <w:r w:rsidR="00A84EE0">
        <w:rPr>
          <w:lang w:val="en-AU"/>
        </w:rPr>
        <w:tab/>
      </w:r>
      <w:r w:rsidR="006E4E86" w:rsidRPr="006E4E86">
        <w:t>PBO</w:t>
      </w:r>
      <w:r w:rsidR="005F2CCC" w:rsidRPr="006E4E86">
        <w:t xml:space="preserve"> </w:t>
      </w:r>
      <w:r w:rsidRPr="005731D3">
        <w:t xml:space="preserve">resource statement—Budget estimates for </w:t>
      </w:r>
      <w:r w:rsidR="00E1129E" w:rsidRPr="005731D3">
        <w:t>2016</w:t>
      </w:r>
      <w:r w:rsidR="000B60E4">
        <w:rPr>
          <w:lang w:val="en-AU"/>
        </w:rPr>
        <w:t>–</w:t>
      </w:r>
      <w:r w:rsidR="00E1129E" w:rsidRPr="005731D3">
        <w:t>17</w:t>
      </w:r>
      <w:r w:rsidRPr="005731D3">
        <w:t xml:space="preserve"> </w:t>
      </w:r>
      <w:r w:rsidR="00A84EE0">
        <w:rPr>
          <w:lang w:val="en-AU"/>
        </w:rPr>
        <w:br/>
      </w:r>
      <w:r w:rsidRPr="005731D3">
        <w:t>as at Budget</w:t>
      </w:r>
      <w:r w:rsidR="00A84EE0">
        <w:rPr>
          <w:lang w:val="en-AU"/>
        </w:rPr>
        <w:t> </w:t>
      </w:r>
      <w:r w:rsidRPr="005731D3">
        <w:t>May 201</w:t>
      </w:r>
      <w:r w:rsidR="00E1129E" w:rsidRPr="005731D3">
        <w:t>6</w:t>
      </w:r>
    </w:p>
    <w:p w:rsidR="005731D3" w:rsidRDefault="00A41673" w:rsidP="005731D3">
      <w:pPr>
        <w:pStyle w:val="TableGraphic"/>
      </w:pPr>
      <w:r>
        <w:object w:dxaOrig="7671" w:dyaOrig="2902">
          <v:shape id="_x0000_i1027" type="#_x0000_t75" style="width:383.1pt;height:144.9pt" o:ole="">
            <v:imagedata r:id="rId46" o:title=""/>
          </v:shape>
          <o:OLEObject Type="Link" ProgID="Excel.Sheet.12" ShapeID="_x0000_i1027" DrawAspect="Content" r:id="rId47" UpdateMode="OnCall">
            <o:LinkType>EnhancedMetaFile</o:LinkType>
            <o:LockedField/>
          </o:OLEObject>
        </w:object>
      </w:r>
    </w:p>
    <w:p w:rsidR="008D3E19" w:rsidRDefault="008D3E19" w:rsidP="006E4E86">
      <w:pPr>
        <w:pStyle w:val="ChartandTableFootnote"/>
      </w:pPr>
      <w:r>
        <w:t>Prepared on a resourcing (i.e.</w:t>
      </w:r>
      <w:r w:rsidR="001666EA">
        <w:t xml:space="preserve"> appropriations available) basis</w:t>
      </w:r>
      <w:r>
        <w:t>.</w:t>
      </w:r>
    </w:p>
    <w:p w:rsidR="008D3E19" w:rsidRDefault="008D3E19" w:rsidP="00466381">
      <w:pPr>
        <w:pStyle w:val="ChartandTableFootnote"/>
      </w:pPr>
      <w:r w:rsidRPr="006E4E86">
        <w:t>Please note</w:t>
      </w:r>
      <w:r>
        <w:t>: All figures shown above are GST exclusive</w:t>
      </w:r>
      <w:r w:rsidR="000B60E4">
        <w:rPr>
          <w:lang w:val="en-AU"/>
        </w:rPr>
        <w:t>—</w:t>
      </w:r>
      <w:r>
        <w:t>these may not match figures in the cash flow statement.</w:t>
      </w:r>
    </w:p>
    <w:p w:rsidR="00EC2948" w:rsidRPr="005250EE" w:rsidRDefault="00EC2948" w:rsidP="009A40DD">
      <w:pPr>
        <w:pStyle w:val="ChartandTableFootnoteAlpha"/>
      </w:pPr>
      <w:r w:rsidRPr="005250EE">
        <w:t xml:space="preserve">Appropriation </w:t>
      </w:r>
      <w:r w:rsidR="00396296">
        <w:t xml:space="preserve">(Parliamentary Departments) </w:t>
      </w:r>
      <w:r w:rsidRPr="005250EE">
        <w:t>Bill (No.1) 2016</w:t>
      </w:r>
      <w:r w:rsidR="00A41673">
        <w:t>–</w:t>
      </w:r>
      <w:r w:rsidRPr="005250EE">
        <w:t>17.</w:t>
      </w:r>
    </w:p>
    <w:p w:rsidR="008D3E19" w:rsidRDefault="00012D73" w:rsidP="00F220D3">
      <w:pPr>
        <w:pStyle w:val="ChartandTableFootnoteAlpha"/>
        <w:rPr>
          <w:i/>
        </w:rPr>
      </w:pPr>
      <w:r>
        <w:rPr>
          <w:i/>
        </w:rPr>
        <w:t>Parliamentary Service Act 1999</w:t>
      </w:r>
      <w:r w:rsidRPr="00F220D3">
        <w:rPr>
          <w:i/>
        </w:rPr>
        <w:t>.</w:t>
      </w:r>
    </w:p>
    <w:p w:rsidR="00F220D3" w:rsidRDefault="00F220D3" w:rsidP="00F220D3">
      <w:pPr>
        <w:sectPr w:rsidR="00F220D3" w:rsidSect="00106CAB">
          <w:headerReference w:type="first" r:id="rId48"/>
          <w:type w:val="evenPage"/>
          <w:pgSz w:w="11906" w:h="16838" w:code="9"/>
          <w:pgMar w:top="2466" w:right="2098" w:bottom="2466" w:left="2098" w:header="1899" w:footer="1899" w:gutter="0"/>
          <w:cols w:space="708"/>
          <w:titlePg/>
          <w:docGrid w:linePitch="360"/>
        </w:sectPr>
      </w:pPr>
    </w:p>
    <w:p w:rsidR="00BE7D58" w:rsidRPr="00810C6A" w:rsidRDefault="00BE7D58" w:rsidP="00396296">
      <w:pPr>
        <w:pStyle w:val="Heading2"/>
      </w:pPr>
      <w:bookmarkStart w:id="33" w:name="_Toc190682312"/>
      <w:bookmarkStart w:id="34" w:name="_Toc190682530"/>
      <w:bookmarkStart w:id="35" w:name="_Toc444523512"/>
      <w:bookmarkStart w:id="36" w:name="_Toc449451534"/>
      <w:r w:rsidRPr="00810C6A">
        <w:lastRenderedPageBreak/>
        <w:t xml:space="preserve">Section 2: Outcome and </w:t>
      </w:r>
      <w:r w:rsidR="00CD3382" w:rsidRPr="00810C6A">
        <w:t>p</w:t>
      </w:r>
      <w:r w:rsidR="0069466B" w:rsidRPr="00810C6A">
        <w:t>lanned</w:t>
      </w:r>
      <w:r w:rsidRPr="00810C6A">
        <w:t xml:space="preserve"> performance</w:t>
      </w:r>
      <w:bookmarkEnd w:id="35"/>
      <w:bookmarkEnd w:id="36"/>
    </w:p>
    <w:p w:rsidR="00396296" w:rsidRDefault="00396296" w:rsidP="00396296">
      <w:r>
        <w:t xml:space="preserve">The Parliamentary Budget Office (PBO) outcome is described below, specifying the </w:t>
      </w:r>
      <w:r w:rsidRPr="00084643">
        <w:t xml:space="preserve">performance indicators and targets used to assess and monitor the performance of the PBO. </w:t>
      </w:r>
      <w:r>
        <w:t xml:space="preserve"> This performance information </w:t>
      </w:r>
      <w:r w:rsidR="000B60E4">
        <w:t>is</w:t>
      </w:r>
      <w:r>
        <w:t xml:space="preserve"> detailed in the PBO’s 2016</w:t>
      </w:r>
      <w:r w:rsidR="00A84EE0">
        <w:t>–</w:t>
      </w:r>
      <w:r>
        <w:t>17</w:t>
      </w:r>
      <w:r w:rsidR="00D66144">
        <w:t> work </w:t>
      </w:r>
      <w:r>
        <w:t>plan.</w:t>
      </w:r>
    </w:p>
    <w:p w:rsidR="00A61BD0" w:rsidRPr="005E6F2B" w:rsidRDefault="00396296" w:rsidP="00BE7D58">
      <w:r>
        <w:t>The</w:t>
      </w:r>
      <w:r w:rsidRPr="005E6F2B">
        <w:t xml:space="preserve"> </w:t>
      </w:r>
      <w:r w:rsidR="00BE7D58" w:rsidRPr="005E6F2B">
        <w:t xml:space="preserve">outcome described below </w:t>
      </w:r>
      <w:r>
        <w:t xml:space="preserve">provides </w:t>
      </w:r>
      <w:r w:rsidR="00A61BD0" w:rsidRPr="005E6F2B">
        <w:t xml:space="preserve">detailed information on expenses </w:t>
      </w:r>
      <w:r w:rsidR="001D1903" w:rsidRPr="005E6F2B">
        <w:t>broken down by funding source</w:t>
      </w:r>
      <w:r w:rsidR="00A61BD0" w:rsidRPr="005E6F2B">
        <w:t>.</w:t>
      </w:r>
    </w:p>
    <w:p w:rsidR="005E54A3" w:rsidRPr="005E6F2B" w:rsidRDefault="003876AB" w:rsidP="00817E6C">
      <w:pPr>
        <w:pStyle w:val="Heading3"/>
      </w:pPr>
      <w:bookmarkStart w:id="37" w:name="_Toc444523513"/>
      <w:bookmarkStart w:id="38" w:name="_Toc449451535"/>
      <w:r w:rsidRPr="00F743D8">
        <w:t>2.</w:t>
      </w:r>
      <w:r w:rsidR="00E75641">
        <w:t>1</w:t>
      </w:r>
      <w:r w:rsidRPr="00F743D8">
        <w:t xml:space="preserve"> </w:t>
      </w:r>
      <w:r w:rsidRPr="00F743D8">
        <w:tab/>
        <w:t>Budgeted expenses and performance</w:t>
      </w:r>
      <w:bookmarkEnd w:id="37"/>
      <w:bookmarkEnd w:id="38"/>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BE7D58" w:rsidRPr="005E6F2B">
        <w:tc>
          <w:tcPr>
            <w:tcW w:w="7713" w:type="dxa"/>
            <w:shd w:val="clear" w:color="auto" w:fill="E6E6E6"/>
          </w:tcPr>
          <w:p w:rsidR="00E75641" w:rsidRDefault="00BE7D58" w:rsidP="00E75641">
            <w:pPr>
              <w:pStyle w:val="TableColumnHeadingLeft"/>
            </w:pPr>
            <w:r w:rsidRPr="005E6F2B">
              <w:t>Outcome</w:t>
            </w:r>
            <w:r w:rsidR="00E75641">
              <w:t>:</w:t>
            </w:r>
          </w:p>
          <w:p w:rsidR="00BE7D58" w:rsidRPr="005E6F2B" w:rsidRDefault="00E75641" w:rsidP="00E75641">
            <w:pPr>
              <w:pStyle w:val="TableColumnHeadingLeft"/>
            </w:pPr>
            <w:r>
              <w:t>To inform the Parliament by providing independent and non-partisan analysis of the budget cycle, fiscal policy and the financial implications of proposals</w:t>
            </w:r>
          </w:p>
        </w:tc>
      </w:tr>
    </w:tbl>
    <w:p w:rsidR="00B86CCD" w:rsidRPr="00446612" w:rsidRDefault="00B86CCD" w:rsidP="00D9399A">
      <w:pPr>
        <w:pStyle w:val="Heading5"/>
        <w:spacing w:before="240"/>
      </w:pPr>
      <w:r w:rsidRPr="00446612">
        <w:t>Budgeted expenses</w:t>
      </w:r>
    </w:p>
    <w:p w:rsidR="0051207B" w:rsidRDefault="0051207B" w:rsidP="0051207B">
      <w:r w:rsidRPr="00950281">
        <w:t xml:space="preserve">This table shows how much the </w:t>
      </w:r>
      <w:r w:rsidR="00E75641">
        <w:t>PBO</w:t>
      </w:r>
      <w:r w:rsidR="00E75641" w:rsidRPr="00950281">
        <w:t xml:space="preserve"> </w:t>
      </w:r>
      <w:r w:rsidRPr="00950281">
        <w:t xml:space="preserve">intends to spend (on an accrual basis) on achieving </w:t>
      </w:r>
      <w:r w:rsidR="00E75641">
        <w:t>its</w:t>
      </w:r>
      <w:r w:rsidR="00E75641" w:rsidRPr="00950281">
        <w:t xml:space="preserve"> </w:t>
      </w:r>
      <w:r w:rsidRPr="00950281">
        <w:t xml:space="preserve">outcome, </w:t>
      </w:r>
      <w:r w:rsidR="00027EC3">
        <w:t>broken down by funding sources.</w:t>
      </w:r>
    </w:p>
    <w:p w:rsidR="00DF2C5D" w:rsidRPr="00084643" w:rsidRDefault="00DF2C5D" w:rsidP="00A84EE0">
      <w:pPr>
        <w:pStyle w:val="TableHeading"/>
        <w:ind w:left="992" w:hanging="992"/>
        <w:rPr>
          <w:lang w:val="en-US"/>
        </w:rPr>
      </w:pPr>
      <w:r>
        <w:t>Table 2.</w:t>
      </w:r>
      <w:r w:rsidR="004B43F8">
        <w:rPr>
          <w:lang w:val="en-US"/>
        </w:rPr>
        <w:t>1</w:t>
      </w:r>
      <w:r>
        <w:t>.1:</w:t>
      </w:r>
      <w:r w:rsidR="00A84EE0">
        <w:rPr>
          <w:lang w:val="en-AU"/>
        </w:rPr>
        <w:tab/>
      </w:r>
      <w:r>
        <w:t>Budgeted expenses</w:t>
      </w:r>
      <w:r w:rsidR="004B43F8">
        <w:rPr>
          <w:lang w:val="en-US"/>
        </w:rPr>
        <w:t xml:space="preserve"> for its </w:t>
      </w:r>
      <w:r w:rsidR="0032692B">
        <w:rPr>
          <w:lang w:val="en-US"/>
        </w:rPr>
        <w:t>O</w:t>
      </w:r>
      <w:r w:rsidR="004B43F8">
        <w:rPr>
          <w:lang w:val="en-US"/>
        </w:rPr>
        <w:t>utcome</w:t>
      </w:r>
    </w:p>
    <w:p w:rsidR="00DF2C5D" w:rsidRDefault="00122FC0" w:rsidP="00DF2C5D">
      <w:pPr>
        <w:pStyle w:val="TableGraphic"/>
      </w:pPr>
      <w:r>
        <w:object w:dxaOrig="7752" w:dyaOrig="4189">
          <v:shape id="_x0000_i1028" type="#_x0000_t75" style="width:387.55pt;height:209.8pt" o:ole="">
            <v:imagedata r:id="rId49" o:title=""/>
          </v:shape>
          <o:OLEObject Type="Link" ProgID="Excel.Sheet.12" ShapeID="_x0000_i1028" DrawAspect="Content" r:id="rId50" UpdateMode="OnCall">
            <o:LinkType>EnhancedMetaFile</o:LinkType>
            <o:LockedField/>
          </o:OLEObject>
        </w:object>
      </w:r>
    </w:p>
    <w:p w:rsidR="00B86CCD" w:rsidRPr="00950281" w:rsidRDefault="00012D73" w:rsidP="006756CD">
      <w:pPr>
        <w:pStyle w:val="ChartandTableFootnote"/>
        <w:numPr>
          <w:ilvl w:val="0"/>
          <w:numId w:val="15"/>
        </w:numPr>
        <w:ind w:left="284" w:hanging="284"/>
      </w:pPr>
      <w:r>
        <w:rPr>
          <w:lang w:val="en-AU"/>
        </w:rPr>
        <w:t>Departmental Appropriation com</w:t>
      </w:r>
      <w:r w:rsidR="00A90840">
        <w:rPr>
          <w:lang w:val="en-AU"/>
        </w:rPr>
        <w:t>prise</w:t>
      </w:r>
      <w:r w:rsidR="006E4E86">
        <w:rPr>
          <w:lang w:val="en-AU"/>
        </w:rPr>
        <w:t>s</w:t>
      </w:r>
      <w:r>
        <w:rPr>
          <w:lang w:val="en-AU"/>
        </w:rPr>
        <w:t xml:space="preserve"> ‘Ordinary annual services (Appropriation (Parliamentary Departments) Bill (No.1))</w:t>
      </w:r>
      <w:r w:rsidR="006E4E86">
        <w:rPr>
          <w:lang w:val="en-AU"/>
        </w:rPr>
        <w:t>’</w:t>
      </w:r>
      <w:r w:rsidR="00B86CCD" w:rsidRPr="006922DC">
        <w:t>.</w:t>
      </w:r>
    </w:p>
    <w:p w:rsidR="00B86CCD" w:rsidRPr="00950281" w:rsidRDefault="00B86CCD" w:rsidP="006756CD">
      <w:pPr>
        <w:pStyle w:val="ChartandTableFootnote"/>
        <w:numPr>
          <w:ilvl w:val="0"/>
          <w:numId w:val="15"/>
        </w:numPr>
        <w:ind w:left="284" w:hanging="284"/>
      </w:pPr>
      <w:r w:rsidRPr="00950281">
        <w:t xml:space="preserve">Expenses not requiring appropriation in the Budget year are made up of depreciation expenses, amortisation expenses, </w:t>
      </w:r>
      <w:r w:rsidR="004B43F8">
        <w:rPr>
          <w:lang w:val="en-US"/>
        </w:rPr>
        <w:t>and resources received free of charge.</w:t>
      </w:r>
    </w:p>
    <w:p w:rsidR="00F220D3" w:rsidRDefault="00B86CCD" w:rsidP="00F220D3">
      <w:pPr>
        <w:pStyle w:val="Source"/>
        <w:spacing w:before="200"/>
      </w:pPr>
      <w:r w:rsidRPr="00446612">
        <w:t>Note: Departmental appropriation splits and totals are indicative estimates and may change in the course of the budget year as government priorities change.</w:t>
      </w:r>
    </w:p>
    <w:p w:rsidR="00F220D3" w:rsidRDefault="00F220D3" w:rsidP="00F220D3">
      <w:pPr>
        <w:pStyle w:val="Source"/>
        <w:spacing w:before="200"/>
        <w:sectPr w:rsidR="00F220D3" w:rsidSect="00F220D3">
          <w:headerReference w:type="first" r:id="rId51"/>
          <w:pgSz w:w="11906" w:h="16838" w:code="9"/>
          <w:pgMar w:top="2466" w:right="2098" w:bottom="2466" w:left="2098" w:header="1899" w:footer="1899" w:gutter="0"/>
          <w:cols w:space="708"/>
          <w:titlePg/>
          <w:docGrid w:linePitch="360"/>
        </w:sectPr>
      </w:pPr>
    </w:p>
    <w:p w:rsidR="00C854F5" w:rsidRPr="00F71634" w:rsidRDefault="008E5BB7" w:rsidP="00A84EE0">
      <w:pPr>
        <w:pStyle w:val="Heading5"/>
        <w:ind w:left="992" w:hanging="992"/>
      </w:pPr>
      <w:bookmarkStart w:id="39" w:name="_Toc190682315"/>
      <w:bookmarkStart w:id="40" w:name="_Toc190682532"/>
      <w:bookmarkEnd w:id="33"/>
      <w:bookmarkEnd w:id="34"/>
      <w:r w:rsidRPr="00F71634">
        <w:lastRenderedPageBreak/>
        <w:t>Table 2.</w:t>
      </w:r>
      <w:r w:rsidR="004B43F8">
        <w:t>1</w:t>
      </w:r>
      <w:r w:rsidRPr="00F71634">
        <w:t>.</w:t>
      </w:r>
      <w:r w:rsidR="004B43F8">
        <w:t>2</w:t>
      </w:r>
      <w:r w:rsidRPr="00F71634">
        <w:t>:</w:t>
      </w:r>
      <w:r w:rsidR="00A84EE0">
        <w:tab/>
      </w:r>
      <w:r w:rsidRPr="00F71634">
        <w:t xml:space="preserve">Performance criteria for </w:t>
      </w:r>
      <w:r w:rsidR="004B43F8">
        <w:t>its outcome</w:t>
      </w:r>
    </w:p>
    <w:p w:rsidR="00691E49" w:rsidRPr="004B43F8" w:rsidRDefault="00E57CA7" w:rsidP="008E5BB7">
      <w:pPr>
        <w:tabs>
          <w:tab w:val="left" w:pos="709"/>
        </w:tabs>
        <w:jc w:val="left"/>
      </w:pPr>
      <w:r w:rsidRPr="00F71634">
        <w:t>Table 2.</w:t>
      </w:r>
      <w:r w:rsidR="004B43F8">
        <w:t>1.2</w:t>
      </w:r>
      <w:r w:rsidRPr="00F71634">
        <w:t xml:space="preserve"> </w:t>
      </w:r>
      <w:r w:rsidR="006F0E97" w:rsidRPr="00F71634">
        <w:t xml:space="preserve">below </w:t>
      </w:r>
      <w:r w:rsidR="00691E49" w:rsidRPr="00F71634">
        <w:t xml:space="preserve">details the performance criteria for </w:t>
      </w:r>
      <w:r w:rsidR="006E4E86">
        <w:t>the PBO’s program.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479"/>
      </w:tblGrid>
      <w:tr w:rsidR="00F7639C" w:rsidRPr="00F71634" w:rsidTr="00146B5E">
        <w:trPr>
          <w:tblHeader/>
        </w:trPr>
        <w:tc>
          <w:tcPr>
            <w:tcW w:w="7655" w:type="dxa"/>
            <w:gridSpan w:val="3"/>
            <w:shd w:val="clear" w:color="auto" w:fill="F2F2F2"/>
          </w:tcPr>
          <w:p w:rsidR="004B43F8" w:rsidRDefault="00F7639C" w:rsidP="004B43F8">
            <w:pPr>
              <w:pStyle w:val="TableColumnHeadingLeft"/>
            </w:pPr>
            <w:r w:rsidRPr="006906E4">
              <w:t>Outcome</w:t>
            </w:r>
            <w:r w:rsidR="004B43F8">
              <w:t>:</w:t>
            </w:r>
          </w:p>
          <w:p w:rsidR="00F7639C" w:rsidRPr="006906E4" w:rsidRDefault="004B43F8" w:rsidP="004B43F8">
            <w:pPr>
              <w:pStyle w:val="TableColumnHeadingLeft"/>
            </w:pPr>
            <w:r>
              <w:t>To inform the Parliament by providing independent and non-partisan analysis of the budget cycle, fiscal policy and the financial implications of proposals</w:t>
            </w:r>
          </w:p>
        </w:tc>
      </w:tr>
      <w:tr w:rsidR="00F7639C" w:rsidRPr="00F71634" w:rsidTr="00146B5E">
        <w:trPr>
          <w:tblHeader/>
        </w:trPr>
        <w:tc>
          <w:tcPr>
            <w:tcW w:w="7655" w:type="dxa"/>
            <w:gridSpan w:val="3"/>
            <w:shd w:val="clear" w:color="auto" w:fill="F2F2F2"/>
          </w:tcPr>
          <w:p w:rsidR="00F7639C" w:rsidRPr="006906E4" w:rsidRDefault="00F7639C" w:rsidP="000B60E4">
            <w:pPr>
              <w:tabs>
                <w:tab w:val="left" w:pos="709"/>
              </w:tabs>
              <w:spacing w:before="60" w:after="60"/>
              <w:jc w:val="left"/>
              <w:rPr>
                <w:rFonts w:ascii="Arial" w:hAnsi="Arial" w:cs="Arial"/>
                <w:sz w:val="16"/>
                <w:szCs w:val="16"/>
              </w:rPr>
            </w:pPr>
            <w:r w:rsidRPr="006906E4">
              <w:rPr>
                <w:rFonts w:ascii="Arial" w:hAnsi="Arial" w:cs="Arial"/>
                <w:b/>
                <w:sz w:val="16"/>
                <w:szCs w:val="16"/>
              </w:rPr>
              <w:t>Program</w:t>
            </w:r>
            <w:r w:rsidR="004C28C9">
              <w:rPr>
                <w:rFonts w:ascii="Arial" w:hAnsi="Arial" w:cs="Arial"/>
                <w:b/>
                <w:sz w:val="16"/>
                <w:szCs w:val="16"/>
              </w:rPr>
              <w:t xml:space="preserve"> </w:t>
            </w:r>
            <w:r w:rsidRPr="006906E4">
              <w:rPr>
                <w:rFonts w:ascii="Arial" w:hAnsi="Arial" w:cs="Arial"/>
                <w:b/>
                <w:sz w:val="16"/>
                <w:szCs w:val="16"/>
              </w:rPr>
              <w:t>1</w:t>
            </w:r>
            <w:r w:rsidR="000B60E4">
              <w:rPr>
                <w:rFonts w:ascii="Arial" w:hAnsi="Arial" w:cs="Arial"/>
                <w:b/>
                <w:sz w:val="16"/>
                <w:szCs w:val="16"/>
              </w:rPr>
              <w:t>—</w:t>
            </w:r>
            <w:r w:rsidR="004C28C9" w:rsidRPr="00084643">
              <w:rPr>
                <w:rFonts w:ascii="Arial" w:hAnsi="Arial" w:cs="Arial"/>
                <w:b/>
                <w:sz w:val="16"/>
                <w:szCs w:val="16"/>
              </w:rPr>
              <w:t>Parliamentary Budget Office</w:t>
            </w:r>
            <w:r w:rsidR="004C28C9">
              <w:rPr>
                <w:rFonts w:ascii="Arial" w:hAnsi="Arial" w:cs="Arial"/>
                <w:b/>
                <w:sz w:val="16"/>
                <w:szCs w:val="16"/>
              </w:rPr>
              <w:t xml:space="preserve"> (PBO)</w:t>
            </w:r>
            <w:r w:rsidR="004C28C9">
              <w:rPr>
                <w:rFonts w:ascii="Arial" w:hAnsi="Arial" w:cs="Arial"/>
                <w:sz w:val="16"/>
                <w:szCs w:val="16"/>
              </w:rPr>
              <w:br/>
            </w:r>
            <w:r w:rsidR="00892F3E">
              <w:rPr>
                <w:rFonts w:ascii="Arial" w:hAnsi="Arial" w:cs="Arial"/>
                <w:color w:val="231F20"/>
                <w:sz w:val="16"/>
                <w:szCs w:val="16"/>
              </w:rPr>
              <w:t>To help level the playing field for all parliamentarians by providing access to costing and budg</w:t>
            </w:r>
            <w:r w:rsidR="00706B3B">
              <w:rPr>
                <w:rFonts w:ascii="Arial" w:hAnsi="Arial" w:cs="Arial"/>
                <w:color w:val="231F20"/>
                <w:sz w:val="16"/>
                <w:szCs w:val="16"/>
              </w:rPr>
              <w:t>et</w:t>
            </w:r>
            <w:r w:rsidR="00892F3E">
              <w:rPr>
                <w:rFonts w:ascii="Arial" w:hAnsi="Arial" w:cs="Arial"/>
                <w:color w:val="231F20"/>
                <w:sz w:val="16"/>
                <w:szCs w:val="16"/>
              </w:rPr>
              <w:t xml:space="preserve"> analysis services, and</w:t>
            </w:r>
            <w:r w:rsidR="006E4E86">
              <w:rPr>
                <w:rFonts w:ascii="Arial" w:hAnsi="Arial" w:cs="Arial"/>
                <w:color w:val="231F20"/>
                <w:sz w:val="16"/>
                <w:szCs w:val="16"/>
              </w:rPr>
              <w:t xml:space="preserve"> to</w:t>
            </w:r>
            <w:r w:rsidR="00892F3E">
              <w:rPr>
                <w:rFonts w:ascii="Arial" w:hAnsi="Arial" w:cs="Arial"/>
                <w:color w:val="231F20"/>
                <w:sz w:val="16"/>
                <w:szCs w:val="16"/>
              </w:rPr>
              <w:t xml:space="preserve"> enhance the transparency of election commitments and the budget and fiscal policy settings more generally.</w:t>
            </w:r>
          </w:p>
        </w:tc>
      </w:tr>
      <w:tr w:rsidR="00F71634" w:rsidRPr="00F71634" w:rsidTr="00146B5E">
        <w:tc>
          <w:tcPr>
            <w:tcW w:w="1701" w:type="dxa"/>
            <w:tcBorders>
              <w:bottom w:val="double" w:sz="4" w:space="0" w:color="auto"/>
            </w:tcBorders>
          </w:tcPr>
          <w:p w:rsidR="00F71634" w:rsidRPr="006906E4" w:rsidRDefault="00F71634" w:rsidP="006906E4">
            <w:pPr>
              <w:tabs>
                <w:tab w:val="left" w:pos="709"/>
              </w:tabs>
              <w:spacing w:before="60" w:after="60"/>
              <w:jc w:val="left"/>
              <w:rPr>
                <w:rFonts w:ascii="Arial" w:hAnsi="Arial" w:cs="Arial"/>
                <w:b/>
                <w:sz w:val="16"/>
                <w:szCs w:val="16"/>
              </w:rPr>
            </w:pPr>
            <w:r w:rsidRPr="006906E4">
              <w:rPr>
                <w:rFonts w:ascii="Arial" w:hAnsi="Arial" w:cs="Arial"/>
                <w:b/>
                <w:sz w:val="16"/>
                <w:szCs w:val="16"/>
              </w:rPr>
              <w:t>Delivery</w:t>
            </w:r>
          </w:p>
        </w:tc>
        <w:tc>
          <w:tcPr>
            <w:tcW w:w="5954" w:type="dxa"/>
            <w:gridSpan w:val="2"/>
            <w:tcBorders>
              <w:bottom w:val="double" w:sz="4" w:space="0" w:color="auto"/>
            </w:tcBorders>
          </w:tcPr>
          <w:p w:rsidR="00F71634" w:rsidRPr="00D66144" w:rsidRDefault="00892F3E" w:rsidP="00D66144">
            <w:pPr>
              <w:spacing w:before="60" w:after="60"/>
              <w:jc w:val="left"/>
              <w:rPr>
                <w:rFonts w:ascii="Arial" w:hAnsi="Arial" w:cs="Arial"/>
                <w:i/>
                <w:sz w:val="16"/>
                <w:szCs w:val="16"/>
              </w:rPr>
            </w:pPr>
            <w:r w:rsidRPr="00D66144">
              <w:rPr>
                <w:rFonts w:ascii="Arial" w:hAnsi="Arial" w:cs="Arial"/>
                <w:sz w:val="16"/>
                <w:szCs w:val="16"/>
              </w:rPr>
              <w:t>The PBO, as an independent and non-partisan institution, engages with the Parliament to help improve the integrity of the policy development process, better inform public policy debates and strengthen budget and fiscal policy transparency.</w:t>
            </w:r>
          </w:p>
        </w:tc>
      </w:tr>
      <w:tr w:rsidR="00F71634" w:rsidRPr="00F71634" w:rsidTr="00146B5E">
        <w:tc>
          <w:tcPr>
            <w:tcW w:w="7655" w:type="dxa"/>
            <w:gridSpan w:val="3"/>
            <w:tcBorders>
              <w:top w:val="double" w:sz="4" w:space="0" w:color="auto"/>
              <w:bottom w:val="double" w:sz="4" w:space="0" w:color="auto"/>
            </w:tcBorders>
          </w:tcPr>
          <w:p w:rsidR="00F71634" w:rsidRPr="006906E4" w:rsidRDefault="00F71634" w:rsidP="006906E4">
            <w:pPr>
              <w:tabs>
                <w:tab w:val="left" w:pos="709"/>
              </w:tabs>
              <w:spacing w:before="60" w:after="60"/>
              <w:jc w:val="left"/>
              <w:rPr>
                <w:rFonts w:ascii="Arial" w:hAnsi="Arial" w:cs="Arial"/>
                <w:b/>
                <w:sz w:val="16"/>
                <w:szCs w:val="16"/>
              </w:rPr>
            </w:pPr>
            <w:r w:rsidRPr="006906E4">
              <w:rPr>
                <w:rFonts w:ascii="Arial" w:hAnsi="Arial" w:cs="Arial"/>
                <w:b/>
                <w:sz w:val="16"/>
                <w:szCs w:val="16"/>
              </w:rPr>
              <w:t>Performance information</w:t>
            </w:r>
          </w:p>
        </w:tc>
      </w:tr>
      <w:tr w:rsidR="006906E4" w:rsidRPr="00F71634" w:rsidTr="00146B5E">
        <w:tc>
          <w:tcPr>
            <w:tcW w:w="1701" w:type="dxa"/>
            <w:tcBorders>
              <w:top w:val="double" w:sz="4" w:space="0" w:color="auto"/>
              <w:bottom w:val="single" w:sz="4" w:space="0" w:color="auto"/>
              <w:right w:val="single" w:sz="4" w:space="0" w:color="auto"/>
            </w:tcBorders>
          </w:tcPr>
          <w:p w:rsidR="00F7639C" w:rsidRPr="006906E4" w:rsidRDefault="00F71634" w:rsidP="006906E4">
            <w:pPr>
              <w:tabs>
                <w:tab w:val="left" w:pos="709"/>
              </w:tabs>
              <w:spacing w:before="60" w:after="60"/>
              <w:jc w:val="left"/>
              <w:rPr>
                <w:rFonts w:ascii="Arial" w:hAnsi="Arial" w:cs="Arial"/>
                <w:b/>
                <w:sz w:val="16"/>
                <w:szCs w:val="16"/>
              </w:rPr>
            </w:pPr>
            <w:r w:rsidRPr="006906E4">
              <w:rPr>
                <w:rFonts w:ascii="Arial" w:hAnsi="Arial"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rsidR="00F7639C" w:rsidRPr="006906E4" w:rsidRDefault="00F71634" w:rsidP="002C2605">
            <w:pPr>
              <w:tabs>
                <w:tab w:val="left" w:pos="709"/>
              </w:tabs>
              <w:spacing w:before="60" w:after="60"/>
              <w:jc w:val="left"/>
              <w:rPr>
                <w:rFonts w:ascii="Arial" w:hAnsi="Arial" w:cs="Arial"/>
                <w:b/>
                <w:sz w:val="16"/>
                <w:szCs w:val="16"/>
              </w:rPr>
            </w:pPr>
            <w:r w:rsidRPr="006906E4">
              <w:rPr>
                <w:rFonts w:ascii="Arial" w:hAnsi="Arial" w:cs="Arial"/>
                <w:b/>
                <w:sz w:val="16"/>
                <w:szCs w:val="16"/>
              </w:rPr>
              <w:t>Performance criteria</w:t>
            </w:r>
          </w:p>
        </w:tc>
        <w:tc>
          <w:tcPr>
            <w:tcW w:w="2479" w:type="dxa"/>
            <w:tcBorders>
              <w:top w:val="double" w:sz="4" w:space="0" w:color="auto"/>
              <w:left w:val="single" w:sz="4" w:space="0" w:color="auto"/>
              <w:bottom w:val="single" w:sz="4" w:space="0" w:color="auto"/>
            </w:tcBorders>
          </w:tcPr>
          <w:p w:rsidR="00F7639C" w:rsidRPr="006906E4" w:rsidRDefault="00F71634" w:rsidP="006906E4">
            <w:pPr>
              <w:tabs>
                <w:tab w:val="left" w:pos="709"/>
              </w:tabs>
              <w:spacing w:before="60" w:after="60"/>
              <w:jc w:val="left"/>
              <w:rPr>
                <w:rFonts w:ascii="Arial" w:hAnsi="Arial" w:cs="Arial"/>
                <w:b/>
                <w:sz w:val="16"/>
                <w:szCs w:val="16"/>
              </w:rPr>
            </w:pPr>
            <w:r w:rsidRPr="006906E4">
              <w:rPr>
                <w:rFonts w:ascii="Arial" w:hAnsi="Arial" w:cs="Arial"/>
                <w:b/>
                <w:sz w:val="16"/>
                <w:szCs w:val="16"/>
              </w:rPr>
              <w:t>Targets</w:t>
            </w:r>
          </w:p>
        </w:tc>
      </w:tr>
      <w:tr w:rsidR="006906E4" w:rsidRPr="00F71634" w:rsidTr="00146B5E">
        <w:trPr>
          <w:trHeight w:val="60"/>
        </w:trPr>
        <w:tc>
          <w:tcPr>
            <w:tcW w:w="1701" w:type="dxa"/>
            <w:tcBorders>
              <w:top w:val="single" w:sz="4" w:space="0" w:color="auto"/>
              <w:bottom w:val="dotted" w:sz="4" w:space="0" w:color="auto"/>
              <w:right w:val="single" w:sz="4" w:space="0" w:color="auto"/>
            </w:tcBorders>
          </w:tcPr>
          <w:p w:rsidR="00F71634" w:rsidRPr="006906E4" w:rsidRDefault="00F71634" w:rsidP="000B60E4">
            <w:pPr>
              <w:tabs>
                <w:tab w:val="left" w:pos="709"/>
              </w:tabs>
              <w:spacing w:before="60" w:after="60"/>
              <w:jc w:val="left"/>
              <w:rPr>
                <w:rFonts w:ascii="Arial" w:hAnsi="Arial" w:cs="Arial"/>
                <w:sz w:val="16"/>
                <w:szCs w:val="16"/>
              </w:rPr>
            </w:pPr>
            <w:r w:rsidRPr="006906E4">
              <w:rPr>
                <w:rFonts w:ascii="Arial" w:hAnsi="Arial" w:cs="Arial"/>
                <w:sz w:val="16"/>
                <w:szCs w:val="16"/>
              </w:rPr>
              <w:t>2015</w:t>
            </w:r>
            <w:r w:rsidR="000B60E4">
              <w:rPr>
                <w:rFonts w:ascii="Arial" w:hAnsi="Arial" w:cs="Arial"/>
                <w:sz w:val="16"/>
                <w:szCs w:val="16"/>
              </w:rPr>
              <w:t>–</w:t>
            </w:r>
            <w:r w:rsidRPr="006906E4">
              <w:rPr>
                <w:rFonts w:ascii="Arial" w:hAnsi="Arial" w:cs="Arial"/>
                <w:sz w:val="16"/>
                <w:szCs w:val="16"/>
              </w:rPr>
              <w:t>16</w:t>
            </w:r>
          </w:p>
        </w:tc>
        <w:tc>
          <w:tcPr>
            <w:tcW w:w="3475" w:type="dxa"/>
            <w:tcBorders>
              <w:top w:val="single" w:sz="4" w:space="0" w:color="auto"/>
              <w:left w:val="single" w:sz="4" w:space="0" w:color="auto"/>
              <w:bottom w:val="dotted" w:sz="4" w:space="0" w:color="auto"/>
              <w:right w:val="single" w:sz="4" w:space="0" w:color="auto"/>
            </w:tcBorders>
          </w:tcPr>
          <w:p w:rsidR="006E4E86" w:rsidRDefault="006E4E86" w:rsidP="00931537">
            <w:pPr>
              <w:tabs>
                <w:tab w:val="left" w:pos="709"/>
              </w:tabs>
              <w:spacing w:before="60" w:after="60"/>
              <w:jc w:val="left"/>
              <w:rPr>
                <w:rFonts w:ascii="Arial" w:hAnsi="Arial" w:cs="Arial"/>
                <w:sz w:val="16"/>
                <w:szCs w:val="16"/>
              </w:rPr>
            </w:pPr>
            <w:r>
              <w:rPr>
                <w:rFonts w:ascii="Arial" w:hAnsi="Arial" w:cs="Arial"/>
                <w:sz w:val="16"/>
                <w:szCs w:val="16"/>
              </w:rPr>
              <w:t xml:space="preserve">The PBO’s performance will be judged by the relevance, quality and timeliness </w:t>
            </w:r>
            <w:r w:rsidR="00AE4E89">
              <w:rPr>
                <w:rFonts w:ascii="Arial" w:hAnsi="Arial" w:cs="Arial"/>
                <w:sz w:val="16"/>
                <w:szCs w:val="16"/>
              </w:rPr>
              <w:t>of its outputs as assessed by feedback from key parliamentary and external stakeholders.</w:t>
            </w:r>
          </w:p>
          <w:p w:rsidR="00AE4E89" w:rsidRPr="00084643" w:rsidRDefault="00AE4E89" w:rsidP="00931537">
            <w:pPr>
              <w:tabs>
                <w:tab w:val="left" w:pos="709"/>
              </w:tabs>
              <w:spacing w:before="60" w:after="60"/>
              <w:jc w:val="left"/>
              <w:rPr>
                <w:rFonts w:ascii="Arial" w:hAnsi="Arial" w:cs="Arial"/>
                <w:sz w:val="16"/>
                <w:szCs w:val="16"/>
              </w:rPr>
            </w:pPr>
            <w:r>
              <w:rPr>
                <w:rFonts w:ascii="Arial" w:hAnsi="Arial" w:cs="Arial"/>
                <w:sz w:val="16"/>
                <w:szCs w:val="16"/>
              </w:rPr>
              <w:t>The independence, transparency and integrity of the PBO’s processes will be another important indicator of performance</w:t>
            </w:r>
            <w:r w:rsidR="000B60E4">
              <w:rPr>
                <w:rFonts w:ascii="Arial" w:hAnsi="Arial" w:cs="Arial"/>
                <w:sz w:val="16"/>
                <w:szCs w:val="16"/>
              </w:rPr>
              <w:t>.</w:t>
            </w:r>
          </w:p>
        </w:tc>
        <w:tc>
          <w:tcPr>
            <w:tcW w:w="2479" w:type="dxa"/>
            <w:tcBorders>
              <w:top w:val="single" w:sz="4" w:space="0" w:color="auto"/>
              <w:left w:val="single" w:sz="4" w:space="0" w:color="auto"/>
              <w:bottom w:val="dotted" w:sz="4" w:space="0" w:color="auto"/>
            </w:tcBorders>
          </w:tcPr>
          <w:p w:rsidR="00F71634" w:rsidRPr="00084643" w:rsidRDefault="00AE4E89" w:rsidP="00856E30">
            <w:pPr>
              <w:tabs>
                <w:tab w:val="left" w:pos="709"/>
              </w:tabs>
              <w:spacing w:before="60" w:after="60"/>
              <w:jc w:val="left"/>
              <w:rPr>
                <w:rFonts w:ascii="Arial" w:hAnsi="Arial" w:cs="Arial"/>
                <w:sz w:val="16"/>
                <w:szCs w:val="16"/>
              </w:rPr>
            </w:pPr>
            <w:r>
              <w:rPr>
                <w:rFonts w:ascii="Arial" w:hAnsi="Arial" w:cs="Arial"/>
                <w:sz w:val="16"/>
                <w:szCs w:val="16"/>
              </w:rPr>
              <w:t>These indicators will be measured by the extent of the demand for the PBO’s services and citations of the PBO’s outputs in the media.</w:t>
            </w:r>
          </w:p>
        </w:tc>
      </w:tr>
      <w:tr w:rsidR="00864C8C" w:rsidRPr="006E4E86" w:rsidTr="00146B5E">
        <w:tc>
          <w:tcPr>
            <w:tcW w:w="1701" w:type="dxa"/>
            <w:tcBorders>
              <w:top w:val="dotted" w:sz="4" w:space="0" w:color="auto"/>
              <w:bottom w:val="dotted" w:sz="4" w:space="0" w:color="auto"/>
              <w:right w:val="single" w:sz="4" w:space="0" w:color="auto"/>
            </w:tcBorders>
          </w:tcPr>
          <w:p w:rsidR="00864C8C" w:rsidRPr="00524647" w:rsidRDefault="00864C8C" w:rsidP="000B60E4">
            <w:pPr>
              <w:tabs>
                <w:tab w:val="left" w:pos="709"/>
              </w:tabs>
              <w:spacing w:before="60" w:after="60"/>
              <w:jc w:val="left"/>
              <w:rPr>
                <w:rFonts w:ascii="Arial" w:hAnsi="Arial" w:cs="Arial"/>
                <w:sz w:val="16"/>
                <w:szCs w:val="16"/>
              </w:rPr>
            </w:pPr>
            <w:r w:rsidRPr="00524647">
              <w:rPr>
                <w:rFonts w:ascii="Arial" w:hAnsi="Arial" w:cs="Arial"/>
                <w:sz w:val="16"/>
                <w:szCs w:val="16"/>
              </w:rPr>
              <w:t>2016</w:t>
            </w:r>
            <w:r w:rsidR="000B60E4">
              <w:rPr>
                <w:rFonts w:ascii="Arial" w:hAnsi="Arial" w:cs="Arial"/>
                <w:sz w:val="16"/>
                <w:szCs w:val="16"/>
              </w:rPr>
              <w:t>–</w:t>
            </w:r>
            <w:r w:rsidRPr="00524647">
              <w:rPr>
                <w:rFonts w:ascii="Arial" w:hAnsi="Arial" w:cs="Arial"/>
                <w:sz w:val="16"/>
                <w:szCs w:val="16"/>
              </w:rPr>
              <w:t>17</w:t>
            </w:r>
          </w:p>
        </w:tc>
        <w:tc>
          <w:tcPr>
            <w:tcW w:w="3475" w:type="dxa"/>
            <w:tcBorders>
              <w:top w:val="dotted" w:sz="4" w:space="0" w:color="auto"/>
              <w:left w:val="single" w:sz="4" w:space="0" w:color="auto"/>
              <w:bottom w:val="dotted" w:sz="4" w:space="0" w:color="auto"/>
              <w:right w:val="single" w:sz="4" w:space="0" w:color="auto"/>
            </w:tcBorders>
          </w:tcPr>
          <w:p w:rsidR="00864C8C" w:rsidRPr="00084643" w:rsidRDefault="00AE4E89" w:rsidP="006906E4">
            <w:pPr>
              <w:tabs>
                <w:tab w:val="left" w:pos="709"/>
              </w:tabs>
              <w:spacing w:before="60" w:after="60"/>
              <w:jc w:val="left"/>
              <w:rPr>
                <w:rFonts w:ascii="Arial" w:hAnsi="Arial" w:cs="Arial"/>
                <w:i/>
                <w:sz w:val="16"/>
                <w:szCs w:val="16"/>
              </w:rPr>
            </w:pPr>
            <w:r>
              <w:rPr>
                <w:rFonts w:ascii="Arial" w:hAnsi="Arial" w:cs="Arial"/>
                <w:sz w:val="16"/>
                <w:szCs w:val="16"/>
              </w:rPr>
              <w:t>As above</w:t>
            </w:r>
          </w:p>
        </w:tc>
        <w:tc>
          <w:tcPr>
            <w:tcW w:w="2479" w:type="dxa"/>
            <w:tcBorders>
              <w:top w:val="dotted" w:sz="4" w:space="0" w:color="auto"/>
              <w:left w:val="single" w:sz="4" w:space="0" w:color="auto"/>
              <w:bottom w:val="dotted" w:sz="4" w:space="0" w:color="auto"/>
            </w:tcBorders>
          </w:tcPr>
          <w:p w:rsidR="00864C8C" w:rsidRPr="00084643" w:rsidRDefault="000B60E4" w:rsidP="006906E4">
            <w:pPr>
              <w:tabs>
                <w:tab w:val="left" w:pos="709"/>
              </w:tabs>
              <w:spacing w:before="60" w:after="60"/>
              <w:jc w:val="left"/>
              <w:rPr>
                <w:rFonts w:ascii="Arial" w:hAnsi="Arial" w:cs="Arial"/>
                <w:i/>
                <w:sz w:val="16"/>
                <w:szCs w:val="16"/>
              </w:rPr>
            </w:pPr>
            <w:r>
              <w:rPr>
                <w:rFonts w:ascii="Arial" w:hAnsi="Arial" w:cs="Arial"/>
                <w:sz w:val="16"/>
                <w:szCs w:val="16"/>
              </w:rPr>
              <w:t>As above</w:t>
            </w:r>
          </w:p>
        </w:tc>
      </w:tr>
      <w:tr w:rsidR="00864C8C" w:rsidRPr="006E4E86" w:rsidTr="00146B5E">
        <w:tc>
          <w:tcPr>
            <w:tcW w:w="1701" w:type="dxa"/>
            <w:tcBorders>
              <w:top w:val="dotted" w:sz="4" w:space="0" w:color="auto"/>
              <w:right w:val="single" w:sz="4" w:space="0" w:color="auto"/>
            </w:tcBorders>
          </w:tcPr>
          <w:p w:rsidR="00864C8C" w:rsidRPr="00084643" w:rsidRDefault="00864C8C" w:rsidP="000B60E4">
            <w:pPr>
              <w:tabs>
                <w:tab w:val="left" w:pos="709"/>
              </w:tabs>
              <w:spacing w:before="60" w:after="60"/>
              <w:jc w:val="left"/>
              <w:rPr>
                <w:rFonts w:ascii="Arial" w:hAnsi="Arial" w:cs="Arial"/>
                <w:sz w:val="16"/>
                <w:szCs w:val="16"/>
              </w:rPr>
            </w:pPr>
            <w:r w:rsidRPr="00084643">
              <w:rPr>
                <w:rFonts w:ascii="Arial" w:hAnsi="Arial" w:cs="Arial"/>
                <w:sz w:val="16"/>
                <w:szCs w:val="16"/>
              </w:rPr>
              <w:t>2017</w:t>
            </w:r>
            <w:r w:rsidR="000B60E4">
              <w:rPr>
                <w:rFonts w:ascii="Arial" w:hAnsi="Arial" w:cs="Arial"/>
                <w:sz w:val="16"/>
                <w:szCs w:val="16"/>
              </w:rPr>
              <w:t>–</w:t>
            </w:r>
            <w:r w:rsidRPr="00084643">
              <w:rPr>
                <w:rFonts w:ascii="Arial" w:hAnsi="Arial" w:cs="Arial"/>
                <w:sz w:val="16"/>
                <w:szCs w:val="16"/>
              </w:rPr>
              <w:t>18 and beyond</w:t>
            </w:r>
          </w:p>
        </w:tc>
        <w:tc>
          <w:tcPr>
            <w:tcW w:w="3475" w:type="dxa"/>
            <w:tcBorders>
              <w:top w:val="dotted" w:sz="4" w:space="0" w:color="auto"/>
              <w:left w:val="single" w:sz="4" w:space="0" w:color="auto"/>
              <w:right w:val="single" w:sz="4" w:space="0" w:color="auto"/>
            </w:tcBorders>
          </w:tcPr>
          <w:p w:rsidR="00864C8C" w:rsidRPr="00084643" w:rsidRDefault="00AE4E89" w:rsidP="00E9221F">
            <w:pPr>
              <w:tabs>
                <w:tab w:val="left" w:pos="709"/>
              </w:tabs>
              <w:spacing w:before="60" w:after="60"/>
              <w:jc w:val="left"/>
              <w:rPr>
                <w:rFonts w:ascii="Arial" w:hAnsi="Arial" w:cs="Arial"/>
                <w:i/>
                <w:sz w:val="16"/>
                <w:szCs w:val="16"/>
              </w:rPr>
            </w:pPr>
            <w:r>
              <w:rPr>
                <w:rFonts w:ascii="Arial" w:hAnsi="Arial" w:cs="Arial"/>
                <w:sz w:val="16"/>
                <w:szCs w:val="16"/>
              </w:rPr>
              <w:t>As above</w:t>
            </w:r>
          </w:p>
        </w:tc>
        <w:tc>
          <w:tcPr>
            <w:tcW w:w="2479" w:type="dxa"/>
            <w:tcBorders>
              <w:top w:val="dotted" w:sz="4" w:space="0" w:color="auto"/>
              <w:left w:val="single" w:sz="4" w:space="0" w:color="auto"/>
            </w:tcBorders>
          </w:tcPr>
          <w:p w:rsidR="00864C8C" w:rsidRPr="00084643" w:rsidRDefault="00AE4E89" w:rsidP="006906E4">
            <w:pPr>
              <w:tabs>
                <w:tab w:val="left" w:pos="709"/>
              </w:tabs>
              <w:spacing w:before="60" w:after="60"/>
              <w:jc w:val="left"/>
              <w:rPr>
                <w:rFonts w:ascii="Arial" w:hAnsi="Arial" w:cs="Arial"/>
                <w:i/>
                <w:sz w:val="16"/>
                <w:szCs w:val="16"/>
              </w:rPr>
            </w:pPr>
            <w:r>
              <w:rPr>
                <w:rFonts w:ascii="Arial" w:hAnsi="Arial" w:cs="Arial"/>
                <w:sz w:val="16"/>
                <w:szCs w:val="16"/>
              </w:rPr>
              <w:t>As above</w:t>
            </w:r>
          </w:p>
        </w:tc>
      </w:tr>
      <w:tr w:rsidR="00F71634" w:rsidRPr="00F71634" w:rsidTr="00146B5E">
        <w:tc>
          <w:tcPr>
            <w:tcW w:w="1701" w:type="dxa"/>
          </w:tcPr>
          <w:p w:rsidR="00F71634" w:rsidRPr="006906E4" w:rsidRDefault="00F71634" w:rsidP="006906E4">
            <w:pPr>
              <w:tabs>
                <w:tab w:val="left" w:pos="709"/>
              </w:tabs>
              <w:spacing w:before="60" w:after="60"/>
              <w:jc w:val="left"/>
              <w:rPr>
                <w:rFonts w:ascii="Arial" w:hAnsi="Arial" w:cs="Arial"/>
                <w:b/>
                <w:sz w:val="16"/>
                <w:szCs w:val="16"/>
              </w:rPr>
            </w:pPr>
            <w:r w:rsidRPr="006906E4">
              <w:rPr>
                <w:rFonts w:ascii="Arial" w:hAnsi="Arial" w:cs="Arial"/>
                <w:b/>
                <w:sz w:val="16"/>
                <w:szCs w:val="16"/>
              </w:rPr>
              <w:t>Purpose</w:t>
            </w:r>
          </w:p>
        </w:tc>
        <w:tc>
          <w:tcPr>
            <w:tcW w:w="5954" w:type="dxa"/>
            <w:gridSpan w:val="2"/>
          </w:tcPr>
          <w:p w:rsidR="00F71634" w:rsidRPr="00084643" w:rsidRDefault="00864C8C" w:rsidP="00D66144">
            <w:pPr>
              <w:tabs>
                <w:tab w:val="left" w:pos="709"/>
              </w:tabs>
              <w:spacing w:before="60" w:after="60"/>
              <w:jc w:val="left"/>
              <w:rPr>
                <w:rFonts w:ascii="Arial" w:hAnsi="Arial" w:cs="Arial"/>
                <w:sz w:val="16"/>
                <w:szCs w:val="16"/>
              </w:rPr>
            </w:pPr>
            <w:r w:rsidRPr="00084643">
              <w:rPr>
                <w:rFonts w:ascii="Arial" w:hAnsi="Arial" w:cs="Arial"/>
                <w:sz w:val="16"/>
                <w:szCs w:val="16"/>
              </w:rPr>
              <w:t>The purpose of the PBO is to inform the Parliament by providing independent and non</w:t>
            </w:r>
            <w:r w:rsidR="00D66144">
              <w:rPr>
                <w:rFonts w:ascii="Arial" w:hAnsi="Arial" w:cs="Arial"/>
                <w:sz w:val="16"/>
                <w:szCs w:val="16"/>
              </w:rPr>
              <w:noBreakHyphen/>
            </w:r>
            <w:r w:rsidRPr="00084643">
              <w:rPr>
                <w:rFonts w:ascii="Arial" w:hAnsi="Arial" w:cs="Arial"/>
                <w:sz w:val="16"/>
                <w:szCs w:val="16"/>
              </w:rPr>
              <w:t>partisan analysis of the budget cycle, fiscal policy and the financial implications of proposals.</w:t>
            </w:r>
          </w:p>
        </w:tc>
      </w:tr>
    </w:tbl>
    <w:p w:rsidR="00F220D3" w:rsidRDefault="00F220D3" w:rsidP="00F220D3">
      <w:pPr>
        <w:sectPr w:rsidR="00F220D3" w:rsidSect="00F220D3">
          <w:headerReference w:type="first" r:id="rId52"/>
          <w:pgSz w:w="11906" w:h="16838" w:code="9"/>
          <w:pgMar w:top="2466" w:right="2098" w:bottom="2466" w:left="2098" w:header="1899" w:footer="1899" w:gutter="0"/>
          <w:cols w:space="708"/>
          <w:titlePg/>
          <w:docGrid w:linePitch="360"/>
        </w:sectPr>
      </w:pPr>
      <w:bookmarkStart w:id="41" w:name="_Toc444523516"/>
      <w:bookmarkStart w:id="42" w:name="_Toc449451536"/>
      <w:bookmarkEnd w:id="39"/>
      <w:bookmarkEnd w:id="40"/>
    </w:p>
    <w:p w:rsidR="002F530C" w:rsidRPr="00BE6D85" w:rsidRDefault="002F530C" w:rsidP="00BE6D85">
      <w:pPr>
        <w:pStyle w:val="Heading2"/>
      </w:pPr>
      <w:r w:rsidRPr="00BE6D85">
        <w:lastRenderedPageBreak/>
        <w:t>Section 3: Budgeted financial statements</w:t>
      </w:r>
      <w:bookmarkEnd w:id="41"/>
      <w:bookmarkEnd w:id="42"/>
    </w:p>
    <w:p w:rsidR="00A6388E" w:rsidRDefault="00CF5085" w:rsidP="007118AC">
      <w:r>
        <w:t>Section 3</w:t>
      </w:r>
      <w:r w:rsidR="0027614D">
        <w:t xml:space="preserve"> presents </w:t>
      </w:r>
      <w:r w:rsidR="00AE4E89">
        <w:t xml:space="preserve">explanatory tables and </w:t>
      </w:r>
      <w:r w:rsidR="0027614D">
        <w:t>budgeted financial statements which provide a comprehensive snapshot of</w:t>
      </w:r>
      <w:r w:rsidR="001B03CC">
        <w:t xml:space="preserve"> entity </w:t>
      </w:r>
      <w:r w:rsidR="0027614D">
        <w:t xml:space="preserve">finances for the </w:t>
      </w:r>
      <w:r w:rsidR="007118AC">
        <w:t>2016</w:t>
      </w:r>
      <w:r w:rsidR="000B60E4">
        <w:t>–</w:t>
      </w:r>
      <w:r w:rsidR="00475EAF">
        <w:t>1</w:t>
      </w:r>
      <w:r w:rsidR="007118AC">
        <w:t>7</w:t>
      </w:r>
      <w:r w:rsidR="00F3510E">
        <w:rPr>
          <w:color w:val="00B050"/>
        </w:rPr>
        <w:t xml:space="preserve"> </w:t>
      </w:r>
      <w:r w:rsidR="0027614D">
        <w:t>budget year</w:t>
      </w:r>
      <w:r w:rsidR="00D66144">
        <w:t>.</w:t>
      </w:r>
    </w:p>
    <w:p w:rsidR="00E4582E" w:rsidRDefault="007118AC" w:rsidP="00EA5A9E">
      <w:pPr>
        <w:pStyle w:val="Heading3"/>
      </w:pPr>
      <w:bookmarkStart w:id="43" w:name="_Toc190682317"/>
      <w:bookmarkStart w:id="44" w:name="_Toc444523517"/>
      <w:bookmarkStart w:id="45" w:name="_Toc449451537"/>
      <w:r>
        <w:t>3.1</w:t>
      </w:r>
      <w:r w:rsidR="00E4582E">
        <w:tab/>
        <w:t>Budgeted financial statements</w:t>
      </w:r>
      <w:bookmarkEnd w:id="43"/>
      <w:bookmarkEnd w:id="44"/>
      <w:bookmarkEnd w:id="45"/>
    </w:p>
    <w:p w:rsidR="00E4582E" w:rsidRDefault="00A23BC2" w:rsidP="00E4582E">
      <w:pPr>
        <w:pStyle w:val="Heading4"/>
      </w:pPr>
      <w:r>
        <w:t>3.</w:t>
      </w:r>
      <w:r w:rsidR="007118AC">
        <w:t>1</w:t>
      </w:r>
      <w:r>
        <w:t>.</w:t>
      </w:r>
      <w:r w:rsidR="00864C8C">
        <w:t>1</w:t>
      </w:r>
      <w:r w:rsidR="005F29CD">
        <w:tab/>
      </w:r>
      <w:r w:rsidR="003B7C64">
        <w:t xml:space="preserve">Explanatory notes and analysis </w:t>
      </w:r>
      <w:r w:rsidR="00E4582E">
        <w:t xml:space="preserve">of </w:t>
      </w:r>
      <w:r w:rsidR="000216BF">
        <w:t>budgeted financial statements</w:t>
      </w:r>
    </w:p>
    <w:p w:rsidR="00524647" w:rsidRDefault="00524647" w:rsidP="00524647">
      <w:r>
        <w:t>The</w:t>
      </w:r>
      <w:r w:rsidRPr="00084643">
        <w:t xml:space="preserve"> </w:t>
      </w:r>
      <w:r>
        <w:t>financial</w:t>
      </w:r>
      <w:r w:rsidRPr="00084643">
        <w:t xml:space="preserve"> </w:t>
      </w:r>
      <w:r>
        <w:t>statements</w:t>
      </w:r>
      <w:r w:rsidRPr="00084643">
        <w:t xml:space="preserve"> </w:t>
      </w:r>
      <w:r>
        <w:t>contain</w:t>
      </w:r>
      <w:r w:rsidRPr="00084643">
        <w:t xml:space="preserve"> </w:t>
      </w:r>
      <w:r>
        <w:t>estimates</w:t>
      </w:r>
      <w:r w:rsidRPr="00084643">
        <w:t xml:space="preserve"> </w:t>
      </w:r>
      <w:r>
        <w:t>prepared</w:t>
      </w:r>
      <w:r w:rsidRPr="00084643">
        <w:t xml:space="preserve"> </w:t>
      </w:r>
      <w:r>
        <w:t>in</w:t>
      </w:r>
      <w:r w:rsidRPr="00084643">
        <w:t xml:space="preserve"> </w:t>
      </w:r>
      <w:r>
        <w:t>accordance</w:t>
      </w:r>
      <w:r w:rsidRPr="00084643">
        <w:t xml:space="preserve"> </w:t>
      </w:r>
      <w:r>
        <w:t>with</w:t>
      </w:r>
      <w:r w:rsidRPr="00084643">
        <w:t xml:space="preserve"> </w:t>
      </w:r>
      <w:r>
        <w:t>the</w:t>
      </w:r>
      <w:r w:rsidRPr="00084643">
        <w:t xml:space="preserve"> </w:t>
      </w:r>
      <w:r>
        <w:t>requirements</w:t>
      </w:r>
      <w:r w:rsidRPr="00084643">
        <w:t xml:space="preserve"> </w:t>
      </w:r>
      <w:r>
        <w:t>of</w:t>
      </w:r>
      <w:r w:rsidRPr="00084643">
        <w:t xml:space="preserve"> </w:t>
      </w:r>
      <w:r>
        <w:t>the</w:t>
      </w:r>
      <w:r w:rsidRPr="00084643">
        <w:t xml:space="preserve"> </w:t>
      </w:r>
      <w:r>
        <w:t>Australian</w:t>
      </w:r>
      <w:r w:rsidRPr="00084643">
        <w:t xml:space="preserve"> </w:t>
      </w:r>
      <w:r>
        <w:t>Government’s</w:t>
      </w:r>
      <w:r w:rsidRPr="00084643">
        <w:t xml:space="preserve"> </w:t>
      </w:r>
      <w:r>
        <w:t>financial</w:t>
      </w:r>
      <w:r w:rsidRPr="00084643">
        <w:t xml:space="preserve"> </w:t>
      </w:r>
      <w:r>
        <w:t>budgeting</w:t>
      </w:r>
      <w:r w:rsidRPr="00084643">
        <w:t xml:space="preserve"> </w:t>
      </w:r>
      <w:r>
        <w:t>and</w:t>
      </w:r>
      <w:r w:rsidRPr="00084643">
        <w:t xml:space="preserve"> </w:t>
      </w:r>
      <w:r>
        <w:t>reporting</w:t>
      </w:r>
      <w:r w:rsidRPr="00084643">
        <w:t xml:space="preserve"> </w:t>
      </w:r>
      <w:r>
        <w:t>framework,</w:t>
      </w:r>
      <w:r w:rsidRPr="00084643">
        <w:t xml:space="preserve"> </w:t>
      </w:r>
      <w:r>
        <w:t>including</w:t>
      </w:r>
      <w:r w:rsidRPr="00084643">
        <w:t xml:space="preserve"> </w:t>
      </w:r>
      <w:r>
        <w:t>Australian</w:t>
      </w:r>
      <w:r w:rsidRPr="00084643">
        <w:t xml:space="preserve"> </w:t>
      </w:r>
      <w:r>
        <w:t>Accounting</w:t>
      </w:r>
      <w:r w:rsidRPr="00084643">
        <w:t xml:space="preserve"> </w:t>
      </w:r>
      <w:r>
        <w:t>Standards,</w:t>
      </w:r>
      <w:r w:rsidRPr="00084643">
        <w:t xml:space="preserve"> </w:t>
      </w:r>
      <w:r>
        <w:t>as</w:t>
      </w:r>
      <w:r w:rsidRPr="00084643">
        <w:t xml:space="preserve"> </w:t>
      </w:r>
      <w:r>
        <w:t>well</w:t>
      </w:r>
      <w:r w:rsidRPr="00084643">
        <w:t xml:space="preserve"> </w:t>
      </w:r>
      <w:r>
        <w:t>as</w:t>
      </w:r>
      <w:r w:rsidRPr="00084643">
        <w:t xml:space="preserve"> </w:t>
      </w:r>
      <w:r>
        <w:t>specific</w:t>
      </w:r>
      <w:r w:rsidRPr="00084643">
        <w:t xml:space="preserve"> </w:t>
      </w:r>
      <w:r>
        <w:t>guidelines</w:t>
      </w:r>
      <w:r w:rsidRPr="00084643">
        <w:t xml:space="preserve"> </w:t>
      </w:r>
      <w:r>
        <w:t xml:space="preserve">issued by the Department of </w:t>
      </w:r>
      <w:r w:rsidRPr="00084643">
        <w:t>Finance.</w:t>
      </w:r>
    </w:p>
    <w:p w:rsidR="00524647" w:rsidRDefault="00524647" w:rsidP="00524647">
      <w:r>
        <w:t>The</w:t>
      </w:r>
      <w:r w:rsidRPr="00084643">
        <w:t xml:space="preserve"> </w:t>
      </w:r>
      <w:r>
        <w:t>financial</w:t>
      </w:r>
      <w:r w:rsidRPr="00084643">
        <w:t xml:space="preserve"> </w:t>
      </w:r>
      <w:r>
        <w:t>statements</w:t>
      </w:r>
      <w:r w:rsidRPr="00084643">
        <w:t xml:space="preserve"> </w:t>
      </w:r>
      <w:r>
        <w:t>have</w:t>
      </w:r>
      <w:r w:rsidRPr="00084643">
        <w:t xml:space="preserve"> </w:t>
      </w:r>
      <w:r>
        <w:t>been</w:t>
      </w:r>
      <w:r w:rsidRPr="00084643">
        <w:t xml:space="preserve"> </w:t>
      </w:r>
      <w:r>
        <w:t>prepared</w:t>
      </w:r>
      <w:r w:rsidRPr="00084643">
        <w:t xml:space="preserve"> </w:t>
      </w:r>
      <w:r>
        <w:t>on</w:t>
      </w:r>
      <w:r w:rsidRPr="00084643">
        <w:t xml:space="preserve"> </w:t>
      </w:r>
      <w:r>
        <w:t>an</w:t>
      </w:r>
      <w:r w:rsidRPr="00084643">
        <w:t xml:space="preserve"> </w:t>
      </w:r>
      <w:r>
        <w:t>accrual</w:t>
      </w:r>
      <w:r w:rsidRPr="00084643">
        <w:t xml:space="preserve"> </w:t>
      </w:r>
      <w:r>
        <w:t>and</w:t>
      </w:r>
      <w:r w:rsidRPr="00084643">
        <w:t xml:space="preserve"> </w:t>
      </w:r>
      <w:r>
        <w:t>fair</w:t>
      </w:r>
      <w:r w:rsidRPr="00084643">
        <w:t xml:space="preserve"> </w:t>
      </w:r>
      <w:r>
        <w:t>value</w:t>
      </w:r>
      <w:r w:rsidRPr="00084643">
        <w:t xml:space="preserve"> </w:t>
      </w:r>
      <w:r>
        <w:t>basis</w:t>
      </w:r>
      <w:r w:rsidRPr="00084643">
        <w:t xml:space="preserve"> </w:t>
      </w:r>
      <w:r>
        <w:t>and</w:t>
      </w:r>
      <w:r w:rsidRPr="00084643">
        <w:t xml:space="preserve"> </w:t>
      </w:r>
      <w:r>
        <w:t>are</w:t>
      </w:r>
      <w:r w:rsidRPr="00084643">
        <w:t xml:space="preserve"> </w:t>
      </w:r>
      <w:r>
        <w:t>in</w:t>
      </w:r>
      <w:r w:rsidRPr="00084643">
        <w:t xml:space="preserve"> </w:t>
      </w:r>
      <w:r>
        <w:t>accordance</w:t>
      </w:r>
      <w:r w:rsidRPr="00084643">
        <w:t xml:space="preserve"> </w:t>
      </w:r>
      <w:r>
        <w:t>with</w:t>
      </w:r>
      <w:r w:rsidRPr="00084643">
        <w:t xml:space="preserve"> </w:t>
      </w:r>
      <w:r>
        <w:t>the</w:t>
      </w:r>
      <w:r w:rsidRPr="00084643">
        <w:t xml:space="preserve"> </w:t>
      </w:r>
      <w:r>
        <w:t>historical</w:t>
      </w:r>
      <w:r w:rsidRPr="00084643">
        <w:t xml:space="preserve"> </w:t>
      </w:r>
      <w:r>
        <w:t>cost</w:t>
      </w:r>
      <w:r w:rsidRPr="00084643">
        <w:t xml:space="preserve"> </w:t>
      </w:r>
      <w:r>
        <w:t>convention,</w:t>
      </w:r>
      <w:r w:rsidRPr="00084643">
        <w:t xml:space="preserve"> </w:t>
      </w:r>
      <w:r>
        <w:t>with</w:t>
      </w:r>
      <w:r w:rsidRPr="00084643">
        <w:t xml:space="preserve"> </w:t>
      </w:r>
      <w:r>
        <w:t>the</w:t>
      </w:r>
      <w:r w:rsidRPr="00084643">
        <w:t xml:space="preserve"> </w:t>
      </w:r>
      <w:r>
        <w:t>exception</w:t>
      </w:r>
      <w:r w:rsidRPr="00084643">
        <w:t xml:space="preserve"> </w:t>
      </w:r>
      <w:r>
        <w:t>of</w:t>
      </w:r>
      <w:r w:rsidRPr="00084643">
        <w:t xml:space="preserve"> employee </w:t>
      </w:r>
      <w:r>
        <w:t>entitlements.</w:t>
      </w:r>
    </w:p>
    <w:p w:rsidR="00524647" w:rsidRPr="00524647" w:rsidRDefault="00524647" w:rsidP="00524647">
      <w:pPr>
        <w:pStyle w:val="Heading5"/>
      </w:pPr>
      <w:r w:rsidRPr="00524647">
        <w:t>Budgeted financial statements</w:t>
      </w:r>
    </w:p>
    <w:p w:rsidR="00524647" w:rsidRDefault="00524647" w:rsidP="00524647">
      <w:r>
        <w:t>Under</w:t>
      </w:r>
      <w:r w:rsidRPr="00084643">
        <w:t xml:space="preserve"> </w:t>
      </w:r>
      <w:r>
        <w:t>the</w:t>
      </w:r>
      <w:r w:rsidRPr="00084643">
        <w:t xml:space="preserve"> </w:t>
      </w:r>
      <w:r>
        <w:t>Australian</w:t>
      </w:r>
      <w:r w:rsidRPr="00084643">
        <w:t xml:space="preserve"> </w:t>
      </w:r>
      <w:r>
        <w:t>Government’s</w:t>
      </w:r>
      <w:r w:rsidRPr="00084643">
        <w:t xml:space="preserve"> </w:t>
      </w:r>
      <w:r>
        <w:t>accrual</w:t>
      </w:r>
      <w:r w:rsidRPr="00084643">
        <w:t xml:space="preserve"> </w:t>
      </w:r>
      <w:r>
        <w:t>budgeting</w:t>
      </w:r>
      <w:r w:rsidRPr="00084643">
        <w:t xml:space="preserve"> </w:t>
      </w:r>
      <w:r>
        <w:t>framework,</w:t>
      </w:r>
      <w:r w:rsidRPr="00084643">
        <w:t xml:space="preserve"> </w:t>
      </w:r>
      <w:r>
        <w:t>transactions</w:t>
      </w:r>
      <w:r w:rsidRPr="00084643">
        <w:t xml:space="preserve"> </w:t>
      </w:r>
      <w:r>
        <w:t>that</w:t>
      </w:r>
      <w:r w:rsidRPr="00084643">
        <w:t xml:space="preserve"> </w:t>
      </w:r>
      <w:r>
        <w:t>entities</w:t>
      </w:r>
      <w:r w:rsidRPr="00084643">
        <w:t xml:space="preserve"> </w:t>
      </w:r>
      <w:r>
        <w:t>control</w:t>
      </w:r>
      <w:r w:rsidRPr="00084643">
        <w:t xml:space="preserve"> </w:t>
      </w:r>
      <w:r>
        <w:t>(entity</w:t>
      </w:r>
      <w:r w:rsidRPr="00084643">
        <w:t xml:space="preserve"> </w:t>
      </w:r>
      <w:r>
        <w:t>transactions)</w:t>
      </w:r>
      <w:r w:rsidRPr="00084643">
        <w:t xml:space="preserve"> </w:t>
      </w:r>
      <w:r>
        <w:t>are</w:t>
      </w:r>
      <w:r w:rsidRPr="00084643">
        <w:t xml:space="preserve"> </w:t>
      </w:r>
      <w:r>
        <w:t>separately</w:t>
      </w:r>
      <w:r w:rsidRPr="00084643">
        <w:t xml:space="preserve"> </w:t>
      </w:r>
      <w:r>
        <w:t>budgeted</w:t>
      </w:r>
      <w:r w:rsidRPr="00084643">
        <w:t xml:space="preserve"> </w:t>
      </w:r>
      <w:r>
        <w:t>for</w:t>
      </w:r>
      <w:r w:rsidRPr="00084643">
        <w:t xml:space="preserve"> </w:t>
      </w:r>
      <w:r>
        <w:t>and</w:t>
      </w:r>
      <w:r w:rsidRPr="00084643">
        <w:t xml:space="preserve"> </w:t>
      </w:r>
      <w:r>
        <w:t>reported</w:t>
      </w:r>
      <w:r w:rsidRPr="00084643">
        <w:t xml:space="preserve"> </w:t>
      </w:r>
      <w:r>
        <w:t>from</w:t>
      </w:r>
      <w:r w:rsidRPr="00084643">
        <w:t xml:space="preserve"> </w:t>
      </w:r>
      <w:r>
        <w:t>transactions entities do not have control over (administered transactions).</w:t>
      </w:r>
    </w:p>
    <w:p w:rsidR="00524647" w:rsidRDefault="00524647" w:rsidP="00524647">
      <w:r>
        <w:t>Entity</w:t>
      </w:r>
      <w:r w:rsidRPr="00084643">
        <w:t xml:space="preserve"> </w:t>
      </w:r>
      <w:r>
        <w:t>assets,</w:t>
      </w:r>
      <w:r w:rsidRPr="00084643">
        <w:t xml:space="preserve"> </w:t>
      </w:r>
      <w:r>
        <w:t>liabilities,</w:t>
      </w:r>
      <w:r w:rsidRPr="00084643">
        <w:t xml:space="preserve"> </w:t>
      </w:r>
      <w:r>
        <w:t>revenue</w:t>
      </w:r>
      <w:r w:rsidRPr="00084643">
        <w:t xml:space="preserve"> </w:t>
      </w:r>
      <w:r>
        <w:t>and</w:t>
      </w:r>
      <w:r w:rsidRPr="00084643">
        <w:t xml:space="preserve"> </w:t>
      </w:r>
      <w:r>
        <w:t>expenses</w:t>
      </w:r>
      <w:r w:rsidRPr="00084643">
        <w:t xml:space="preserve"> </w:t>
      </w:r>
      <w:r>
        <w:t>are</w:t>
      </w:r>
      <w:r w:rsidRPr="00084643">
        <w:t xml:space="preserve"> </w:t>
      </w:r>
      <w:r>
        <w:t>those</w:t>
      </w:r>
      <w:r w:rsidRPr="00084643">
        <w:t xml:space="preserve"> </w:t>
      </w:r>
      <w:r>
        <w:t>which</w:t>
      </w:r>
      <w:r w:rsidRPr="00084643">
        <w:t xml:space="preserve"> </w:t>
      </w:r>
      <w:r>
        <w:t>are</w:t>
      </w:r>
      <w:r w:rsidRPr="00084643">
        <w:t xml:space="preserve"> </w:t>
      </w:r>
      <w:r>
        <w:t>controlled</w:t>
      </w:r>
      <w:r w:rsidRPr="00084643">
        <w:t xml:space="preserve"> </w:t>
      </w:r>
      <w:r>
        <w:t>by</w:t>
      </w:r>
      <w:r w:rsidRPr="00084643">
        <w:t xml:space="preserve"> </w:t>
      </w:r>
      <w:r>
        <w:t>the</w:t>
      </w:r>
      <w:r w:rsidRPr="00084643">
        <w:t xml:space="preserve"> </w:t>
      </w:r>
      <w:r>
        <w:t>entity.</w:t>
      </w:r>
      <w:r w:rsidRPr="00084643">
        <w:t xml:space="preserve"> </w:t>
      </w:r>
      <w:r>
        <w:t xml:space="preserve"> Entity</w:t>
      </w:r>
      <w:r w:rsidRPr="00084643">
        <w:t xml:space="preserve"> </w:t>
      </w:r>
      <w:r>
        <w:t>expenses</w:t>
      </w:r>
      <w:r w:rsidRPr="00084643">
        <w:t xml:space="preserve"> </w:t>
      </w:r>
      <w:r>
        <w:t>include</w:t>
      </w:r>
      <w:r w:rsidRPr="00084643">
        <w:t xml:space="preserve"> </w:t>
      </w:r>
      <w:r>
        <w:t>employee</w:t>
      </w:r>
      <w:r w:rsidRPr="00084643">
        <w:t xml:space="preserve"> </w:t>
      </w:r>
      <w:r>
        <w:t>and</w:t>
      </w:r>
      <w:r w:rsidRPr="00084643">
        <w:t xml:space="preserve"> </w:t>
      </w:r>
      <w:r>
        <w:t>supplier</w:t>
      </w:r>
      <w:r w:rsidRPr="00084643">
        <w:t xml:space="preserve"> </w:t>
      </w:r>
      <w:r>
        <w:t>expenses and</w:t>
      </w:r>
      <w:r w:rsidRPr="00084643">
        <w:t xml:space="preserve"> </w:t>
      </w:r>
      <w:r>
        <w:t>other</w:t>
      </w:r>
      <w:r w:rsidRPr="00084643">
        <w:t xml:space="preserve"> </w:t>
      </w:r>
      <w:r>
        <w:t>administrative</w:t>
      </w:r>
      <w:r w:rsidRPr="00084643">
        <w:t xml:space="preserve"> </w:t>
      </w:r>
      <w:r>
        <w:t>costs,</w:t>
      </w:r>
      <w:r w:rsidRPr="00084643">
        <w:t xml:space="preserve"> </w:t>
      </w:r>
      <w:r>
        <w:t>which</w:t>
      </w:r>
      <w:r w:rsidRPr="00084643">
        <w:t xml:space="preserve"> </w:t>
      </w:r>
      <w:r>
        <w:t>are</w:t>
      </w:r>
      <w:r w:rsidRPr="00084643">
        <w:t xml:space="preserve"> </w:t>
      </w:r>
      <w:r>
        <w:t>incurred</w:t>
      </w:r>
      <w:r w:rsidRPr="00084643">
        <w:t xml:space="preserve"> </w:t>
      </w:r>
      <w:r>
        <w:t>by</w:t>
      </w:r>
      <w:r w:rsidRPr="00084643">
        <w:t xml:space="preserve"> </w:t>
      </w:r>
      <w:r>
        <w:t>the</w:t>
      </w:r>
      <w:r w:rsidRPr="00084643">
        <w:t xml:space="preserve"> </w:t>
      </w:r>
      <w:r>
        <w:t>entity</w:t>
      </w:r>
      <w:r w:rsidRPr="00084643">
        <w:t xml:space="preserve"> </w:t>
      </w:r>
      <w:r>
        <w:t>in</w:t>
      </w:r>
      <w:r w:rsidRPr="00084643">
        <w:t xml:space="preserve"> </w:t>
      </w:r>
      <w:r>
        <w:t>providing</w:t>
      </w:r>
      <w:r w:rsidRPr="00084643">
        <w:t xml:space="preserve"> </w:t>
      </w:r>
      <w:r>
        <w:t>its</w:t>
      </w:r>
      <w:r w:rsidRPr="00084643">
        <w:t xml:space="preserve"> </w:t>
      </w:r>
      <w:r>
        <w:t>goods</w:t>
      </w:r>
      <w:r w:rsidRPr="00084643">
        <w:t xml:space="preserve"> </w:t>
      </w:r>
      <w:r>
        <w:t>and</w:t>
      </w:r>
      <w:r w:rsidRPr="00084643">
        <w:t xml:space="preserve"> </w:t>
      </w:r>
      <w:r>
        <w:t>services to the Australian</w:t>
      </w:r>
      <w:r w:rsidRPr="00084643">
        <w:t xml:space="preserve"> </w:t>
      </w:r>
      <w:r>
        <w:t>Parliament.</w:t>
      </w:r>
    </w:p>
    <w:p w:rsidR="00524647" w:rsidRPr="00524647" w:rsidRDefault="00524647" w:rsidP="00524647">
      <w:pPr>
        <w:pStyle w:val="Heading5"/>
      </w:pPr>
      <w:r w:rsidRPr="00524647">
        <w:t>Budgeted comprehensive income</w:t>
      </w:r>
      <w:r w:rsidRPr="00084643">
        <w:t xml:space="preserve"> </w:t>
      </w:r>
      <w:r w:rsidRPr="00524647">
        <w:t>statement</w:t>
      </w:r>
    </w:p>
    <w:p w:rsidR="00524647" w:rsidRDefault="00524647" w:rsidP="00524647">
      <w:r>
        <w:t>Under</w:t>
      </w:r>
      <w:r w:rsidRPr="00084643">
        <w:t xml:space="preserve"> </w:t>
      </w:r>
      <w:r>
        <w:t>the</w:t>
      </w:r>
      <w:r w:rsidRPr="00084643">
        <w:t xml:space="preserve"> </w:t>
      </w:r>
      <w:r>
        <w:t>net</w:t>
      </w:r>
      <w:r w:rsidRPr="00084643">
        <w:t xml:space="preserve"> </w:t>
      </w:r>
      <w:r>
        <w:t>cash</w:t>
      </w:r>
      <w:r w:rsidRPr="00084643">
        <w:t xml:space="preserve"> </w:t>
      </w:r>
      <w:r>
        <w:t>appropriation</w:t>
      </w:r>
      <w:r w:rsidRPr="00084643">
        <w:t xml:space="preserve"> </w:t>
      </w:r>
      <w:r>
        <w:t>framework</w:t>
      </w:r>
      <w:r w:rsidRPr="00084643">
        <w:t xml:space="preserve"> </w:t>
      </w:r>
      <w:r>
        <w:t>the</w:t>
      </w:r>
      <w:r w:rsidRPr="00084643">
        <w:t xml:space="preserve"> </w:t>
      </w:r>
      <w:r w:rsidR="00027EC3">
        <w:t>Parliamentary Budget Office (</w:t>
      </w:r>
      <w:r>
        <w:t>PBO</w:t>
      </w:r>
      <w:r w:rsidR="00027EC3">
        <w:t>)</w:t>
      </w:r>
      <w:r w:rsidRPr="00084643">
        <w:t xml:space="preserve"> </w:t>
      </w:r>
      <w:r>
        <w:t>receives</w:t>
      </w:r>
      <w:r w:rsidRPr="00084643">
        <w:t xml:space="preserve"> </w:t>
      </w:r>
      <w:r>
        <w:t>an</w:t>
      </w:r>
      <w:r w:rsidRPr="00084643">
        <w:t xml:space="preserve"> </w:t>
      </w:r>
      <w:r>
        <w:t>appropriation</w:t>
      </w:r>
      <w:r w:rsidRPr="00084643">
        <w:t xml:space="preserve"> </w:t>
      </w:r>
      <w:r>
        <w:t>to</w:t>
      </w:r>
      <w:r w:rsidRPr="00084643">
        <w:t xml:space="preserve"> </w:t>
      </w:r>
      <w:r>
        <w:t>meet</w:t>
      </w:r>
      <w:r w:rsidRPr="00084643">
        <w:t xml:space="preserve"> </w:t>
      </w:r>
      <w:r>
        <w:t>budgeted</w:t>
      </w:r>
      <w:r w:rsidRPr="00084643">
        <w:t xml:space="preserve"> </w:t>
      </w:r>
      <w:r>
        <w:t>expenses</w:t>
      </w:r>
      <w:r w:rsidRPr="00084643">
        <w:t xml:space="preserve"> </w:t>
      </w:r>
      <w:r>
        <w:t>(except</w:t>
      </w:r>
      <w:r w:rsidRPr="00084643">
        <w:t xml:space="preserve"> </w:t>
      </w:r>
      <w:r>
        <w:t>depreciation).</w:t>
      </w:r>
      <w:r w:rsidRPr="00084643">
        <w:t xml:space="preserve"> </w:t>
      </w:r>
      <w:r>
        <w:t xml:space="preserve"> This</w:t>
      </w:r>
      <w:r w:rsidRPr="00084643">
        <w:t xml:space="preserve"> </w:t>
      </w:r>
      <w:r>
        <w:t>appropriation is recognised as revenue.</w:t>
      </w:r>
    </w:p>
    <w:p w:rsidR="00524647" w:rsidRPr="000C3B86" w:rsidRDefault="00524647" w:rsidP="00524647">
      <w:r>
        <w:t>The</w:t>
      </w:r>
      <w:r w:rsidRPr="00084643">
        <w:t xml:space="preserve"> </w:t>
      </w:r>
      <w:r>
        <w:t>PBO</w:t>
      </w:r>
      <w:r w:rsidRPr="00084643">
        <w:t xml:space="preserve"> </w:t>
      </w:r>
      <w:r>
        <w:t>received</w:t>
      </w:r>
      <w:r w:rsidRPr="00084643">
        <w:t xml:space="preserve"> </w:t>
      </w:r>
      <w:r>
        <w:t>a</w:t>
      </w:r>
      <w:r w:rsidRPr="00084643">
        <w:t xml:space="preserve"> </w:t>
      </w:r>
      <w:r>
        <w:t>special</w:t>
      </w:r>
      <w:r w:rsidRPr="00084643">
        <w:t xml:space="preserve"> </w:t>
      </w:r>
      <w:r>
        <w:t>appropriation</w:t>
      </w:r>
      <w:r w:rsidRPr="00084643">
        <w:t xml:space="preserve"> </w:t>
      </w:r>
      <w:r>
        <w:t>at</w:t>
      </w:r>
      <w:r w:rsidRPr="00084643">
        <w:t xml:space="preserve"> </w:t>
      </w:r>
      <w:r>
        <w:t>the</w:t>
      </w:r>
      <w:r w:rsidRPr="00084643">
        <w:t xml:space="preserve"> </w:t>
      </w:r>
      <w:r>
        <w:t>time</w:t>
      </w:r>
      <w:r w:rsidRPr="00084643">
        <w:t xml:space="preserve"> </w:t>
      </w:r>
      <w:r>
        <w:t>of</w:t>
      </w:r>
      <w:r w:rsidRPr="00084643">
        <w:t xml:space="preserve"> its </w:t>
      </w:r>
      <w:r>
        <w:t>establishment.</w:t>
      </w:r>
      <w:r w:rsidRPr="00084643">
        <w:t xml:space="preserve"> </w:t>
      </w:r>
      <w:r>
        <w:t xml:space="preserve"> The</w:t>
      </w:r>
      <w:r w:rsidRPr="00084643">
        <w:t xml:space="preserve"> </w:t>
      </w:r>
      <w:r>
        <w:t>special</w:t>
      </w:r>
      <w:r w:rsidRPr="00084643">
        <w:t xml:space="preserve"> </w:t>
      </w:r>
      <w:r>
        <w:t>appropriation</w:t>
      </w:r>
      <w:r w:rsidRPr="00084643">
        <w:t xml:space="preserve"> </w:t>
      </w:r>
      <w:r>
        <w:t>is</w:t>
      </w:r>
      <w:r w:rsidRPr="00084643">
        <w:t xml:space="preserve"> </w:t>
      </w:r>
      <w:r>
        <w:t>recognised</w:t>
      </w:r>
      <w:r w:rsidRPr="00084643">
        <w:t xml:space="preserve"> </w:t>
      </w:r>
      <w:r>
        <w:t>as</w:t>
      </w:r>
      <w:r w:rsidRPr="00084643">
        <w:t xml:space="preserve"> </w:t>
      </w:r>
      <w:r>
        <w:t>revenue</w:t>
      </w:r>
      <w:r w:rsidRPr="00084643">
        <w:t xml:space="preserve"> </w:t>
      </w:r>
      <w:r>
        <w:t>in</w:t>
      </w:r>
      <w:r w:rsidRPr="00084643">
        <w:t xml:space="preserve"> </w:t>
      </w:r>
      <w:r>
        <w:t>the</w:t>
      </w:r>
      <w:r w:rsidRPr="00084643">
        <w:t xml:space="preserve"> </w:t>
      </w:r>
      <w:r>
        <w:t>year</w:t>
      </w:r>
      <w:r w:rsidRPr="00084643">
        <w:t xml:space="preserve"> </w:t>
      </w:r>
      <w:r>
        <w:t>the</w:t>
      </w:r>
      <w:r w:rsidRPr="00084643">
        <w:t xml:space="preserve"> </w:t>
      </w:r>
      <w:r>
        <w:t>funds</w:t>
      </w:r>
      <w:r w:rsidRPr="00084643">
        <w:t xml:space="preserve"> </w:t>
      </w:r>
      <w:r>
        <w:t>are</w:t>
      </w:r>
      <w:r w:rsidRPr="00084643">
        <w:t xml:space="preserve"> </w:t>
      </w:r>
      <w:r>
        <w:t>spent.</w:t>
      </w:r>
      <w:r w:rsidRPr="00084643">
        <w:t xml:space="preserve">  </w:t>
      </w:r>
      <w:r>
        <w:t>The</w:t>
      </w:r>
      <w:r w:rsidRPr="00084643">
        <w:t xml:space="preserve"> </w:t>
      </w:r>
      <w:r>
        <w:t>associated</w:t>
      </w:r>
      <w:r w:rsidRPr="00084643">
        <w:t xml:space="preserve"> </w:t>
      </w:r>
      <w:r>
        <w:t>expense</w:t>
      </w:r>
      <w:r w:rsidRPr="00084643">
        <w:t xml:space="preserve"> </w:t>
      </w:r>
      <w:r>
        <w:t>is</w:t>
      </w:r>
      <w:r w:rsidRPr="00084643">
        <w:t xml:space="preserve"> </w:t>
      </w:r>
      <w:r>
        <w:t>recognised</w:t>
      </w:r>
      <w:r w:rsidRPr="00084643">
        <w:t xml:space="preserve"> </w:t>
      </w:r>
      <w:r>
        <w:t>in</w:t>
      </w:r>
      <w:r w:rsidRPr="00084643">
        <w:t xml:space="preserve"> </w:t>
      </w:r>
      <w:r>
        <w:t>the</w:t>
      </w:r>
      <w:r w:rsidRPr="00084643">
        <w:t xml:space="preserve"> </w:t>
      </w:r>
      <w:r>
        <w:t>comprehensive</w:t>
      </w:r>
      <w:r w:rsidRPr="00084643">
        <w:t xml:space="preserve"> </w:t>
      </w:r>
      <w:r>
        <w:t>income</w:t>
      </w:r>
      <w:r w:rsidRPr="00084643">
        <w:t xml:space="preserve"> </w:t>
      </w:r>
      <w:r w:rsidRPr="00F157AC">
        <w:t xml:space="preserve">statement </w:t>
      </w:r>
      <w:r w:rsidRPr="00084643">
        <w:t xml:space="preserve">except </w:t>
      </w:r>
      <w:r>
        <w:t xml:space="preserve">where the </w:t>
      </w:r>
      <w:r w:rsidRPr="00084643">
        <w:t>PBO</w:t>
      </w:r>
      <w:r>
        <w:t xml:space="preserve"> has purchased assets, which are recognised in the balance sheet.</w:t>
      </w:r>
    </w:p>
    <w:p w:rsidR="00864C8C" w:rsidRPr="00084643" w:rsidRDefault="00864C8C" w:rsidP="00084643">
      <w:r w:rsidRPr="00084643">
        <w:t xml:space="preserve">The PBO is budgeting for a </w:t>
      </w:r>
      <w:r w:rsidR="00934A65" w:rsidRPr="00C45011">
        <w:t>break-even operating result</w:t>
      </w:r>
      <w:r w:rsidRPr="00084643">
        <w:t xml:space="preserve"> for 201</w:t>
      </w:r>
      <w:r>
        <w:t>6</w:t>
      </w:r>
      <w:r w:rsidR="000B60E4">
        <w:t>–</w:t>
      </w:r>
      <w:r w:rsidRPr="00931537">
        <w:t>1</w:t>
      </w:r>
      <w:r>
        <w:t>7</w:t>
      </w:r>
      <w:r w:rsidR="00934A65">
        <w:t xml:space="preserve"> and the forward years, after non-appropriation expenses such as depreciation are removed.</w:t>
      </w:r>
    </w:p>
    <w:p w:rsidR="00934A65" w:rsidRDefault="00934A65" w:rsidP="00084643">
      <w:r>
        <w:t>The PBO has sufficient cash reserves to fund provisions and payables, and asset replacement, as they fall due across the forward estimates period.</w:t>
      </w:r>
    </w:p>
    <w:p w:rsidR="00F220D3" w:rsidRDefault="00F220D3" w:rsidP="00084643">
      <w:pPr>
        <w:sectPr w:rsidR="00F220D3" w:rsidSect="00F220D3">
          <w:headerReference w:type="first" r:id="rId53"/>
          <w:pgSz w:w="11906" w:h="16838" w:code="9"/>
          <w:pgMar w:top="2466" w:right="2098" w:bottom="2466" w:left="2098" w:header="1899" w:footer="1899" w:gutter="0"/>
          <w:cols w:space="708"/>
          <w:titlePg/>
          <w:docGrid w:linePitch="360"/>
        </w:sectPr>
      </w:pPr>
    </w:p>
    <w:p w:rsidR="00E4582E" w:rsidRDefault="00E4582E" w:rsidP="00C45011">
      <w:pPr>
        <w:pStyle w:val="Heading4"/>
      </w:pPr>
      <w:bookmarkStart w:id="46" w:name="_Toc444523518"/>
      <w:r>
        <w:lastRenderedPageBreak/>
        <w:t>3.</w:t>
      </w:r>
      <w:r w:rsidR="00481C26">
        <w:t>1</w:t>
      </w:r>
      <w:r>
        <w:t>.</w:t>
      </w:r>
      <w:r w:rsidR="00481C26">
        <w:t>2</w:t>
      </w:r>
      <w:r w:rsidR="005F29CD">
        <w:tab/>
      </w:r>
      <w:r>
        <w:t xml:space="preserve">Budgeted </w:t>
      </w:r>
      <w:r w:rsidR="00F626C2">
        <w:t>financial statements tables</w:t>
      </w:r>
      <w:bookmarkEnd w:id="46"/>
    </w:p>
    <w:p w:rsidR="00E4582E" w:rsidRDefault="00E855E0" w:rsidP="00A84EE0">
      <w:pPr>
        <w:pStyle w:val="TableHeading"/>
        <w:ind w:left="992" w:hanging="992"/>
        <w:rPr>
          <w:snapToGrid w:val="0"/>
        </w:rPr>
      </w:pPr>
      <w:r w:rsidRPr="00E855E0">
        <w:t>Table</w:t>
      </w:r>
      <w:r w:rsidR="00971CBF">
        <w:t xml:space="preserve"> 3.</w:t>
      </w:r>
      <w:r w:rsidR="00A41673">
        <w:rPr>
          <w:lang w:val="en-AU"/>
        </w:rPr>
        <w:t>1</w:t>
      </w:r>
      <w:r w:rsidR="001352EE">
        <w:t>:</w:t>
      </w:r>
      <w:r w:rsidR="00A84EE0">
        <w:rPr>
          <w:lang w:val="en-AU"/>
        </w:rPr>
        <w:tab/>
      </w:r>
      <w:r w:rsidRPr="00E855E0">
        <w:t xml:space="preserve">Comprehensive </w:t>
      </w:r>
      <w:r w:rsidR="00F626C2" w:rsidRPr="00E855E0">
        <w:t>income statement (showing net cost of services</w:t>
      </w:r>
      <w:r w:rsidRPr="00E855E0">
        <w:t>)</w:t>
      </w:r>
      <w:r w:rsidR="004A1224">
        <w:t xml:space="preserve"> </w:t>
      </w:r>
      <w:r w:rsidR="00A84EE0">
        <w:rPr>
          <w:lang w:val="en-AU"/>
        </w:rPr>
        <w:br/>
      </w:r>
      <w:r w:rsidR="00E4582E">
        <w:rPr>
          <w:snapToGrid w:val="0"/>
        </w:rPr>
        <w:t>for the period ended 30 June</w:t>
      </w:r>
    </w:p>
    <w:p w:rsidR="00E436F2" w:rsidRPr="00E436F2" w:rsidRDefault="00122FC0" w:rsidP="00C45011">
      <w:pPr>
        <w:pStyle w:val="TableGraphic"/>
      </w:pPr>
      <w:r>
        <w:rPr>
          <w:i/>
          <w:color w:val="FF0000"/>
        </w:rPr>
        <w:object w:dxaOrig="7699" w:dyaOrig="5778">
          <v:shape id="_x0000_i1029" type="#_x0000_t75" style="width:384.9pt;height:288.9pt" o:ole="">
            <v:imagedata r:id="rId54" o:title=""/>
          </v:shape>
          <o:OLEObject Type="Link" ProgID="Excel.Sheet.12" ShapeID="_x0000_i1029" DrawAspect="Content" r:id="rId55" UpdateMode="OnCall">
            <o:LinkType>EnhancedMetaFile</o:LinkType>
            <o:LockedField/>
          </o:OLEObject>
        </w:object>
      </w:r>
    </w:p>
    <w:p w:rsidR="000B60E4" w:rsidRDefault="000B60E4" w:rsidP="000B60E4">
      <w:pPr>
        <w:pStyle w:val="Heading5"/>
      </w:pPr>
    </w:p>
    <w:p w:rsidR="00146B5E" w:rsidRPr="000B60E4" w:rsidRDefault="000B60E4" w:rsidP="000B60E4">
      <w:pPr>
        <w:pStyle w:val="TableHeading"/>
      </w:pPr>
      <w:r>
        <w:t>Note: Impact of net cash appropriation arrangements</w:t>
      </w:r>
    </w:p>
    <w:p w:rsidR="00A965CD" w:rsidRPr="00A965CD" w:rsidRDefault="00122FC0" w:rsidP="00BE6D85">
      <w:pPr>
        <w:pStyle w:val="TableGraphic"/>
      </w:pPr>
      <w:r>
        <w:object w:dxaOrig="7699" w:dyaOrig="2828">
          <v:shape id="_x0000_i1030" type="#_x0000_t75" style="width:384.9pt;height:141.35pt" o:ole="">
            <v:imagedata r:id="rId56" o:title=""/>
          </v:shape>
          <o:OLEObject Type="Link" ProgID="Excel.Sheet.12" ShapeID="_x0000_i1030" DrawAspect="Content" r:id="rId57" UpdateMode="OnCall">
            <o:LinkType>EnhancedMetaFile</o:LinkType>
            <o:LockedField/>
          </o:OLEObject>
        </w:object>
      </w:r>
    </w:p>
    <w:p w:rsidR="00586535" w:rsidRDefault="00E4582E" w:rsidP="00E4582E">
      <w:pPr>
        <w:pStyle w:val="Source"/>
      </w:pPr>
      <w:r w:rsidRPr="00E4582E">
        <w:t>Prepared on Australian Accounting Standards basis</w:t>
      </w:r>
      <w:r>
        <w:t>.</w:t>
      </w:r>
    </w:p>
    <w:p w:rsidR="00F220D3" w:rsidRDefault="00F220D3" w:rsidP="00E4582E">
      <w:pPr>
        <w:pStyle w:val="Source"/>
        <w:sectPr w:rsidR="00F220D3" w:rsidSect="00F220D3">
          <w:headerReference w:type="first" r:id="rId58"/>
          <w:pgSz w:w="11906" w:h="16838" w:code="9"/>
          <w:pgMar w:top="2466" w:right="2098" w:bottom="2466" w:left="2098" w:header="1899" w:footer="1899" w:gutter="0"/>
          <w:cols w:space="708"/>
          <w:titlePg/>
          <w:docGrid w:linePitch="360"/>
        </w:sectPr>
      </w:pPr>
    </w:p>
    <w:p w:rsidR="00E4582E" w:rsidRDefault="00525AB1" w:rsidP="003F5F01">
      <w:pPr>
        <w:pStyle w:val="TableHeading"/>
        <w:ind w:left="992" w:hanging="992"/>
      </w:pPr>
      <w:r w:rsidRPr="00E4582E">
        <w:lastRenderedPageBreak/>
        <w:t>Table</w:t>
      </w:r>
      <w:r w:rsidR="00971CBF">
        <w:t xml:space="preserve"> 3.</w:t>
      </w:r>
      <w:r w:rsidR="00A41673">
        <w:rPr>
          <w:lang w:val="en-AU"/>
        </w:rPr>
        <w:t>2</w:t>
      </w:r>
      <w:r w:rsidRPr="00E4582E">
        <w:t>:</w:t>
      </w:r>
      <w:r w:rsidR="003F5F01">
        <w:rPr>
          <w:lang w:val="en-AU"/>
        </w:rPr>
        <w:tab/>
      </w:r>
      <w:r w:rsidRPr="00E4582E">
        <w:t>Budg</w:t>
      </w:r>
      <w:r>
        <w:t xml:space="preserve">eted </w:t>
      </w:r>
      <w:r w:rsidR="00F626C2">
        <w:t xml:space="preserve">departmental balance sheet </w:t>
      </w:r>
      <w:r w:rsidRPr="00E4582E">
        <w:t>(as at 30 June)</w:t>
      </w:r>
    </w:p>
    <w:p w:rsidR="00F626C2" w:rsidRPr="00F626C2" w:rsidRDefault="00A41673" w:rsidP="00122FC0">
      <w:pPr>
        <w:pStyle w:val="TableGraphic"/>
      </w:pPr>
      <w:r>
        <w:object w:dxaOrig="7688" w:dyaOrig="6502">
          <v:shape id="_x0000_i1031" type="#_x0000_t75" style="width:384pt;height:325.35pt" o:ole="">
            <v:imagedata r:id="rId59" o:title=""/>
          </v:shape>
          <o:OLEObject Type="Link" ProgID="Excel.Sheet.12" ShapeID="_x0000_i1031" DrawAspect="Content" r:id="rId60" UpdateMode="OnCall">
            <o:LinkType>EnhancedMetaFile</o:LinkType>
            <o:LockedField/>
          </o:OLEObject>
        </w:object>
      </w:r>
    </w:p>
    <w:p w:rsidR="00E4582E" w:rsidRDefault="00E4582E" w:rsidP="00C45011">
      <w:pPr>
        <w:pStyle w:val="Source"/>
      </w:pPr>
      <w:r w:rsidRPr="00E4582E">
        <w:t>*</w:t>
      </w:r>
      <w:r w:rsidR="00DC5221">
        <w:t xml:space="preserve"> ‘</w:t>
      </w:r>
      <w:r w:rsidRPr="00F626C2">
        <w:t>E</w:t>
      </w:r>
      <w:r w:rsidR="00F626C2">
        <w:t>quity’</w:t>
      </w:r>
      <w:r w:rsidRPr="00E4582E">
        <w:t xml:space="preserve"> is the residual interest in assets after deduction of liabilities.</w:t>
      </w:r>
    </w:p>
    <w:p w:rsidR="00E4582E" w:rsidRDefault="00E4582E" w:rsidP="00D66144">
      <w:pPr>
        <w:pStyle w:val="Source"/>
        <w:spacing w:before="200"/>
      </w:pPr>
      <w:r>
        <w:t>Prepared on Australian Accounting Standards basis.</w:t>
      </w:r>
    </w:p>
    <w:p w:rsidR="00A607FF" w:rsidRDefault="00A607FF" w:rsidP="00D66144">
      <w:pPr>
        <w:pStyle w:val="Source"/>
        <w:spacing w:before="200"/>
        <w:sectPr w:rsidR="00A607FF" w:rsidSect="00F220D3">
          <w:headerReference w:type="first" r:id="rId61"/>
          <w:pgSz w:w="11906" w:h="16838" w:code="9"/>
          <w:pgMar w:top="2466" w:right="2098" w:bottom="2466" w:left="2098" w:header="1899" w:footer="1899" w:gutter="0"/>
          <w:cols w:space="708"/>
          <w:titlePg/>
          <w:docGrid w:linePitch="360"/>
        </w:sectPr>
      </w:pPr>
    </w:p>
    <w:p w:rsidR="00345CCD" w:rsidRDefault="00A80C87" w:rsidP="003F5F01">
      <w:pPr>
        <w:pStyle w:val="TableHeading"/>
        <w:ind w:left="992" w:hanging="992"/>
      </w:pPr>
      <w:r>
        <w:lastRenderedPageBreak/>
        <w:t>Table</w:t>
      </w:r>
      <w:r w:rsidR="00971CBF">
        <w:t xml:space="preserve"> 3.</w:t>
      </w:r>
      <w:r>
        <w:t>3</w:t>
      </w:r>
      <w:r w:rsidR="00345CCD" w:rsidRPr="00D30CBA">
        <w:t>:</w:t>
      </w:r>
      <w:r w:rsidR="003F5F01">
        <w:rPr>
          <w:lang w:val="en-AU"/>
        </w:rPr>
        <w:tab/>
      </w:r>
      <w:r w:rsidR="00345CCD" w:rsidRPr="00D30CBA">
        <w:t xml:space="preserve">Departmental </w:t>
      </w:r>
      <w:r w:rsidR="00F626C2">
        <w:t>s</w:t>
      </w:r>
      <w:r w:rsidR="00F626C2" w:rsidRPr="00D30CBA">
        <w:t xml:space="preserve">tatement of </w:t>
      </w:r>
      <w:r w:rsidR="00F626C2">
        <w:t>c</w:t>
      </w:r>
      <w:r w:rsidR="00F626C2" w:rsidRPr="00D30CBA">
        <w:t xml:space="preserve">hanges in </w:t>
      </w:r>
      <w:r w:rsidR="00F626C2">
        <w:t>e</w:t>
      </w:r>
      <w:r w:rsidR="00DC5221">
        <w:t>quity</w:t>
      </w:r>
      <w:r w:rsidR="00DC5221">
        <w:rPr>
          <w:lang w:val="en-AU"/>
        </w:rPr>
        <w:t>—</w:t>
      </w:r>
      <w:r w:rsidR="00F93849">
        <w:rPr>
          <w:lang w:val="en-AU"/>
        </w:rPr>
        <w:br/>
      </w:r>
      <w:r w:rsidR="00F626C2">
        <w:t>s</w:t>
      </w:r>
      <w:r w:rsidR="00F626C2" w:rsidRPr="00D30CBA">
        <w:t>ummar</w:t>
      </w:r>
      <w:r w:rsidR="00F626C2">
        <w:t>y of movement (</w:t>
      </w:r>
      <w:r w:rsidR="008A1DDE">
        <w:t xml:space="preserve">Budget </w:t>
      </w:r>
      <w:r w:rsidR="00F626C2">
        <w:t>y</w:t>
      </w:r>
      <w:r w:rsidR="008A1DDE">
        <w:t xml:space="preserve">ear </w:t>
      </w:r>
      <w:r w:rsidR="000768A5">
        <w:t>2016</w:t>
      </w:r>
      <w:r w:rsidR="00DC5221">
        <w:rPr>
          <w:lang w:val="en-AU"/>
        </w:rPr>
        <w:t>–</w:t>
      </w:r>
      <w:r w:rsidR="000768A5">
        <w:t>17</w:t>
      </w:r>
      <w:r w:rsidR="00345CCD" w:rsidRPr="00D30CBA">
        <w:t>)</w:t>
      </w:r>
    </w:p>
    <w:p w:rsidR="00345CCD" w:rsidRPr="00D66144" w:rsidRDefault="00F93849" w:rsidP="00817E6C">
      <w:pPr>
        <w:pStyle w:val="TableGraphic"/>
        <w:rPr>
          <w:i/>
        </w:rPr>
      </w:pPr>
      <w:r>
        <w:object w:dxaOrig="6771" w:dyaOrig="3861">
          <v:shape id="_x0000_i1032" type="#_x0000_t75" style="width:338.65pt;height:192.9pt" o:ole="">
            <v:imagedata r:id="rId62" o:title=""/>
          </v:shape>
          <o:OLEObject Type="Link" ProgID="Excel.Sheet.12" ShapeID="_x0000_i1032" DrawAspect="Content" r:id="rId63" UpdateMode="OnCall">
            <o:LinkType>EnhancedMetaFile</o:LinkType>
            <o:LockedField/>
          </o:OLEObject>
        </w:object>
      </w:r>
    </w:p>
    <w:p w:rsidR="00345CCD" w:rsidRDefault="00345CCD" w:rsidP="00345CCD">
      <w:pPr>
        <w:pStyle w:val="Source"/>
      </w:pPr>
      <w:r>
        <w:t>Prepared on Australian Accounting Standards basis.</w:t>
      </w:r>
    </w:p>
    <w:p w:rsidR="00A607FF" w:rsidRDefault="00A607FF" w:rsidP="00345CCD">
      <w:pPr>
        <w:pStyle w:val="Source"/>
        <w:sectPr w:rsidR="00A607FF" w:rsidSect="00F220D3">
          <w:headerReference w:type="first" r:id="rId64"/>
          <w:pgSz w:w="11906" w:h="16838" w:code="9"/>
          <w:pgMar w:top="2466" w:right="2098" w:bottom="2466" w:left="2098" w:header="1899" w:footer="1899" w:gutter="0"/>
          <w:cols w:space="708"/>
          <w:titlePg/>
          <w:docGrid w:linePitch="360"/>
        </w:sectPr>
      </w:pPr>
    </w:p>
    <w:p w:rsidR="00345CCD" w:rsidRDefault="00345CCD" w:rsidP="003F5F01">
      <w:pPr>
        <w:pStyle w:val="TableHeading"/>
        <w:ind w:left="992" w:hanging="992"/>
      </w:pPr>
      <w:r>
        <w:lastRenderedPageBreak/>
        <w:t>Table</w:t>
      </w:r>
      <w:r w:rsidR="00971CBF">
        <w:t xml:space="preserve"> 3.</w:t>
      </w:r>
      <w:r>
        <w:t>4:</w:t>
      </w:r>
      <w:r w:rsidR="003F5F01">
        <w:rPr>
          <w:lang w:val="en-AU"/>
        </w:rPr>
        <w:tab/>
      </w:r>
      <w:r w:rsidRPr="00D30CBA">
        <w:t xml:space="preserve">Budgeted </w:t>
      </w:r>
      <w:r w:rsidR="00F10305">
        <w:t>d</w:t>
      </w:r>
      <w:r w:rsidR="00F10305" w:rsidRPr="00D30CBA">
        <w:t>epar</w:t>
      </w:r>
      <w:r w:rsidR="00F10305">
        <w:t xml:space="preserve">tmental statement of cash flows </w:t>
      </w:r>
      <w:r w:rsidR="003F5F01">
        <w:rPr>
          <w:lang w:val="en-AU"/>
        </w:rPr>
        <w:br/>
      </w:r>
      <w:r w:rsidRPr="00D30CBA">
        <w:t>(</w:t>
      </w:r>
      <w:r w:rsidR="00F10305">
        <w:t>for </w:t>
      </w:r>
      <w:r>
        <w:t>the period ended</w:t>
      </w:r>
      <w:r w:rsidR="00D66144">
        <w:rPr>
          <w:lang w:val="en-AU"/>
        </w:rPr>
        <w:t xml:space="preserve"> </w:t>
      </w:r>
      <w:r w:rsidRPr="00D30CBA">
        <w:t>30</w:t>
      </w:r>
      <w:r w:rsidR="00D66144">
        <w:rPr>
          <w:lang w:val="en-AU"/>
        </w:rPr>
        <w:t> </w:t>
      </w:r>
      <w:r w:rsidRPr="00D30CBA">
        <w:t>June)</w:t>
      </w:r>
    </w:p>
    <w:p w:rsidR="00345CCD" w:rsidRDefault="00122FC0" w:rsidP="003F5F01">
      <w:pPr>
        <w:pStyle w:val="Source"/>
        <w:spacing w:after="240"/>
      </w:pPr>
      <w:r>
        <w:object w:dxaOrig="7714" w:dyaOrig="5878">
          <v:shape id="_x0000_i1033" type="#_x0000_t75" style="width:385.8pt;height:294.2pt" o:ole="">
            <v:imagedata r:id="rId65" o:title=""/>
          </v:shape>
          <o:OLEObject Type="Link" ProgID="Excel.Sheet.12" ShapeID="_x0000_i1033" DrawAspect="Content" r:id="rId66" UpdateMode="OnCall">
            <o:LinkType>EnhancedMetaFile</o:LinkType>
            <o:LockedField/>
          </o:OLEObject>
        </w:object>
      </w:r>
      <w:r w:rsidR="00345CCD">
        <w:t>Prepared on Australian Accounting Standards basis.</w:t>
      </w:r>
    </w:p>
    <w:p w:rsidR="0041404E" w:rsidRPr="0041404E" w:rsidRDefault="008B4464" w:rsidP="003F5F01">
      <w:pPr>
        <w:pStyle w:val="TableHeading"/>
        <w:ind w:left="992" w:hanging="992"/>
      </w:pPr>
      <w:r w:rsidRPr="00D30CBA">
        <w:t>Table</w:t>
      </w:r>
      <w:r w:rsidR="00971CBF">
        <w:t xml:space="preserve"> 3.</w:t>
      </w:r>
      <w:r>
        <w:t>5</w:t>
      </w:r>
      <w:r w:rsidR="003F5F01">
        <w:t>:</w:t>
      </w:r>
      <w:r w:rsidR="003F5F01">
        <w:rPr>
          <w:lang w:val="en-AU"/>
        </w:rPr>
        <w:tab/>
      </w:r>
      <w:r w:rsidR="00F54947">
        <w:t xml:space="preserve">Departmental </w:t>
      </w:r>
      <w:r w:rsidR="00F10305">
        <w:t>capital budget statement</w:t>
      </w:r>
      <w:r w:rsidR="005067C7">
        <w:t xml:space="preserve"> (for the period ended 30 June)</w:t>
      </w:r>
    </w:p>
    <w:p w:rsidR="008B4464" w:rsidRPr="00A607FF" w:rsidRDefault="00122FC0" w:rsidP="00C056E4">
      <w:pPr>
        <w:pStyle w:val="TableGraphic"/>
        <w:rPr>
          <w:i/>
        </w:rPr>
      </w:pPr>
      <w:r>
        <w:rPr>
          <w:i/>
          <w:color w:val="FF0000"/>
        </w:rPr>
        <w:object w:dxaOrig="7716" w:dyaOrig="3085">
          <v:shape id="_x0000_i1034" type="#_x0000_t75" style="width:385.8pt;height:154.65pt" o:ole="">
            <v:imagedata r:id="rId67" o:title=""/>
          </v:shape>
          <o:OLEObject Type="Link" ProgID="Excel.Sheet.12" ShapeID="_x0000_i1034" DrawAspect="Content" r:id="rId68" UpdateMode="OnCall">
            <o:LinkType>EnhancedMetaFile</o:LinkType>
            <o:LockedField/>
          </o:OLEObject>
        </w:object>
      </w:r>
    </w:p>
    <w:p w:rsidR="008B4464" w:rsidRDefault="008B4464" w:rsidP="008B4464">
      <w:pPr>
        <w:pStyle w:val="Source"/>
      </w:pPr>
      <w:r>
        <w:t>Prepared on Australian Accounting Standards basis.</w:t>
      </w:r>
    </w:p>
    <w:p w:rsidR="00A607FF" w:rsidRDefault="00A607FF" w:rsidP="008B4464">
      <w:pPr>
        <w:pStyle w:val="Source"/>
        <w:sectPr w:rsidR="00A607FF" w:rsidSect="00F220D3">
          <w:headerReference w:type="first" r:id="rId69"/>
          <w:pgSz w:w="11906" w:h="16838" w:code="9"/>
          <w:pgMar w:top="2466" w:right="2098" w:bottom="2466" w:left="2098" w:header="1899" w:footer="1899" w:gutter="0"/>
          <w:cols w:space="708"/>
          <w:titlePg/>
          <w:docGrid w:linePitch="360"/>
        </w:sectPr>
      </w:pPr>
    </w:p>
    <w:p w:rsidR="0041404E" w:rsidRDefault="00CC4867" w:rsidP="003F5F01">
      <w:pPr>
        <w:pStyle w:val="TableHeading"/>
        <w:ind w:left="992" w:hanging="992"/>
      </w:pPr>
      <w:r w:rsidRPr="00D30CBA">
        <w:lastRenderedPageBreak/>
        <w:t>Table</w:t>
      </w:r>
      <w:r w:rsidR="00971CBF">
        <w:t xml:space="preserve"> 3.</w:t>
      </w:r>
      <w:r>
        <w:t>6</w:t>
      </w:r>
      <w:r w:rsidRPr="00D30CBA">
        <w:t>:</w:t>
      </w:r>
      <w:r w:rsidR="003F5F01">
        <w:rPr>
          <w:lang w:val="en-AU"/>
        </w:rPr>
        <w:tab/>
      </w:r>
      <w:r>
        <w:t xml:space="preserve">Statement of </w:t>
      </w:r>
      <w:r w:rsidR="00F10305">
        <w:t xml:space="preserve">asset movements </w:t>
      </w:r>
      <w:r w:rsidR="008A1DDE">
        <w:t>(</w:t>
      </w:r>
      <w:r w:rsidR="00B70C9E">
        <w:t xml:space="preserve">Budget year </w:t>
      </w:r>
      <w:r w:rsidR="000768A5">
        <w:t>2016</w:t>
      </w:r>
      <w:r w:rsidR="00122FC0">
        <w:rPr>
          <w:lang w:val="en-AU"/>
        </w:rPr>
        <w:t>–</w:t>
      </w:r>
      <w:r w:rsidR="000768A5">
        <w:t>17</w:t>
      </w:r>
      <w:r w:rsidR="00E855E0">
        <w:t>)</w:t>
      </w:r>
    </w:p>
    <w:p w:rsidR="00663728" w:rsidRPr="00C45011" w:rsidRDefault="00F93849" w:rsidP="00A75E78">
      <w:pPr>
        <w:pStyle w:val="ChartandTableFootnoteAlpha"/>
        <w:numPr>
          <w:ilvl w:val="0"/>
          <w:numId w:val="0"/>
        </w:numPr>
      </w:pPr>
      <w:r>
        <w:rPr>
          <w:rFonts w:ascii="Book Antiqua" w:hAnsi="Book Antiqua"/>
          <w:b/>
          <w:bCs/>
          <w:sz w:val="20"/>
          <w:lang w:val="en-US"/>
        </w:rPr>
        <w:object w:dxaOrig="6481" w:dyaOrig="3887">
          <v:shape id="_x0000_i1035" type="#_x0000_t75" style="width:324.45pt;height:194.65pt" o:ole="">
            <v:imagedata r:id="rId70" o:title=""/>
          </v:shape>
          <o:OLEObject Type="Link" ProgID="Excel.Sheet.12" ShapeID="_x0000_i1035" DrawAspect="Content" r:id="rId71" UpdateMode="OnCall">
            <o:LinkType>EnhancedMetaFile</o:LinkType>
            <o:LockedField/>
          </o:OLEObject>
        </w:object>
      </w:r>
    </w:p>
    <w:p w:rsidR="000C3B86" w:rsidRPr="000C3B86" w:rsidRDefault="00CC4867" w:rsidP="00D66144">
      <w:pPr>
        <w:pStyle w:val="Source"/>
      </w:pPr>
      <w:r w:rsidRPr="003458E0">
        <w:t>Prepared on Australian Accounting Standards basis.</w:t>
      </w:r>
    </w:p>
    <w:sectPr w:rsidR="000C3B86" w:rsidRPr="000C3B86" w:rsidSect="00F220D3">
      <w:headerReference w:type="first" r:id="rId72"/>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239" w:rsidRDefault="00645239" w:rsidP="00C07DEC">
      <w:r>
        <w:separator/>
      </w:r>
    </w:p>
  </w:endnote>
  <w:endnote w:type="continuationSeparator" w:id="0">
    <w:p w:rsidR="00645239" w:rsidRDefault="00645239"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54" w:rsidRPr="00F220D3" w:rsidRDefault="00F220D3" w:rsidP="00F220D3">
    <w:pPr>
      <w:pStyle w:val="Footer"/>
      <w:rPr>
        <w:lang w:val="en-AU"/>
      </w:rPr>
    </w:pPr>
    <w:r>
      <w:rPr>
        <w:rStyle w:val="PageNumber"/>
      </w:rPr>
      <w:fldChar w:fldCharType="begin"/>
    </w:r>
    <w:r>
      <w:rPr>
        <w:rStyle w:val="PageNumber"/>
      </w:rPr>
      <w:instrText xml:space="preserve"> PAGE </w:instrText>
    </w:r>
    <w:r>
      <w:rPr>
        <w:rStyle w:val="PageNumber"/>
      </w:rPr>
      <w:fldChar w:fldCharType="separate"/>
    </w:r>
    <w:r w:rsidR="000A5CD3">
      <w:rPr>
        <w:rStyle w:val="PageNumber"/>
        <w:noProof/>
      </w:rPr>
      <w:t>ii</w:t>
    </w:r>
    <w:r>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28A" w:rsidRPr="004342F8" w:rsidRDefault="0080428A" w:rsidP="004342F8">
    <w:pPr>
      <w:pStyle w:val="Footer"/>
    </w:pPr>
    <w:r>
      <w:rPr>
        <w:rStyle w:val="PageNumber"/>
      </w:rPr>
      <w:fldChar w:fldCharType="begin"/>
    </w:r>
    <w:r>
      <w:rPr>
        <w:rStyle w:val="PageNumber"/>
      </w:rPr>
      <w:instrText xml:space="preserve"> PAGE </w:instrText>
    </w:r>
    <w:r>
      <w:rPr>
        <w:rStyle w:val="PageNumber"/>
      </w:rPr>
      <w:fldChar w:fldCharType="separate"/>
    </w:r>
    <w:r w:rsidR="000A5CD3">
      <w:rPr>
        <w:rStyle w:val="PageNumber"/>
        <w:noProof/>
      </w:rPr>
      <w:t>15</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54" w:rsidRDefault="00224154">
    <w:pPr>
      <w:pStyle w:val="Footer"/>
    </w:pPr>
    <w:r>
      <w:rPr>
        <w:rStyle w:val="PageNumber"/>
      </w:rPr>
      <w:fldChar w:fldCharType="begin"/>
    </w:r>
    <w:r>
      <w:rPr>
        <w:rStyle w:val="PageNumber"/>
      </w:rPr>
      <w:instrText xml:space="preserve"> PAGE </w:instrText>
    </w:r>
    <w:r>
      <w:rPr>
        <w:rStyle w:val="PageNumber"/>
      </w:rPr>
      <w:fldChar w:fldCharType="separate"/>
    </w:r>
    <w:r w:rsidR="008A5071">
      <w:rPr>
        <w:rStyle w:val="PageNumber"/>
        <w:noProof/>
      </w:rPr>
      <w:t>16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54" w:rsidRPr="00E501C3" w:rsidRDefault="00224154" w:rsidP="00E501C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54" w:rsidRPr="004342F8" w:rsidRDefault="00224154" w:rsidP="004342F8">
    <w:pPr>
      <w:pStyle w:val="Footer"/>
    </w:pPr>
    <w:r>
      <w:rPr>
        <w:rStyle w:val="PageNumber"/>
      </w:rPr>
      <w:fldChar w:fldCharType="begin"/>
    </w:r>
    <w:r>
      <w:rPr>
        <w:rStyle w:val="PageNumber"/>
      </w:rPr>
      <w:instrText xml:space="preserve"> PAGE </w:instrText>
    </w:r>
    <w:r>
      <w:rPr>
        <w:rStyle w:val="PageNumber"/>
      </w:rPr>
      <w:fldChar w:fldCharType="separate"/>
    </w:r>
    <w:r w:rsidR="000A5CD3">
      <w:rPr>
        <w:rStyle w:val="PageNumber"/>
        <w:noProof/>
      </w:rPr>
      <w:t>iv</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54" w:rsidRPr="0080428A" w:rsidRDefault="0080428A" w:rsidP="0080428A">
    <w:pPr>
      <w:pStyle w:val="Footer"/>
      <w:rPr>
        <w:lang w:val="en-AU"/>
      </w:rPr>
    </w:pPr>
    <w:r>
      <w:rPr>
        <w:rStyle w:val="PageNumber"/>
      </w:rPr>
      <w:fldChar w:fldCharType="begin"/>
    </w:r>
    <w:r>
      <w:rPr>
        <w:rStyle w:val="PageNumber"/>
      </w:rPr>
      <w:instrText xml:space="preserve"> PAGE </w:instrText>
    </w:r>
    <w:r>
      <w:rPr>
        <w:rStyle w:val="PageNumber"/>
      </w:rPr>
      <w:fldChar w:fldCharType="separate"/>
    </w:r>
    <w:r w:rsidR="000A5CD3">
      <w:rPr>
        <w:rStyle w:val="PageNumber"/>
        <w:noProof/>
      </w:rPr>
      <w:t>v</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54" w:rsidRDefault="00224154">
    <w:pPr>
      <w:pStyle w:val="Footer"/>
    </w:pPr>
    <w:r>
      <w:rPr>
        <w:rStyle w:val="PageNumber"/>
      </w:rPr>
      <w:fldChar w:fldCharType="begin"/>
    </w:r>
    <w:r>
      <w:rPr>
        <w:rStyle w:val="PageNumber"/>
      </w:rPr>
      <w:instrText xml:space="preserve"> PAGE </w:instrText>
    </w:r>
    <w:r>
      <w:rPr>
        <w:rStyle w:val="PageNumber"/>
      </w:rPr>
      <w:fldChar w:fldCharType="separate"/>
    </w:r>
    <w:r w:rsidR="008A5071">
      <w:rPr>
        <w:rStyle w:val="PageNumber"/>
        <w:noProof/>
      </w:rPr>
      <w:t>xvi</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54" w:rsidRPr="004342F8" w:rsidRDefault="00224154" w:rsidP="004342F8">
    <w:pPr>
      <w:pStyle w:val="Footer"/>
    </w:pPr>
    <w:r>
      <w:rPr>
        <w:rStyle w:val="PageNumber"/>
      </w:rPr>
      <w:fldChar w:fldCharType="begin"/>
    </w:r>
    <w:r>
      <w:rPr>
        <w:rStyle w:val="PageNumber"/>
      </w:rPr>
      <w:instrText xml:space="preserve"> PAGE </w:instrText>
    </w:r>
    <w:r>
      <w:rPr>
        <w:rStyle w:val="PageNumber"/>
      </w:rPr>
      <w:fldChar w:fldCharType="separate"/>
    </w:r>
    <w:r w:rsidR="000A5CD3">
      <w:rPr>
        <w:rStyle w:val="PageNumber"/>
        <w:noProof/>
      </w:rPr>
      <w:t>vi</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28A" w:rsidRPr="004342F8" w:rsidRDefault="0080428A" w:rsidP="004342F8">
    <w:pPr>
      <w:pStyle w:val="Footer"/>
    </w:pPr>
    <w:r>
      <w:rPr>
        <w:rStyle w:val="PageNumber"/>
      </w:rPr>
      <w:fldChar w:fldCharType="begin"/>
    </w:r>
    <w:r>
      <w:rPr>
        <w:rStyle w:val="PageNumber"/>
      </w:rPr>
      <w:instrText xml:space="preserve"> PAGE </w:instrText>
    </w:r>
    <w:r>
      <w:rPr>
        <w:rStyle w:val="PageNumber"/>
      </w:rPr>
      <w:fldChar w:fldCharType="separate"/>
    </w:r>
    <w:r w:rsidR="000A5CD3">
      <w:rPr>
        <w:rStyle w:val="PageNumber"/>
        <w:noProof/>
      </w:rPr>
      <w:t>vii</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0D3" w:rsidRPr="0080428A" w:rsidRDefault="0080428A" w:rsidP="0080428A">
    <w:pPr>
      <w:pStyle w:val="Footer"/>
      <w:rPr>
        <w:lang w:val="en-AU"/>
      </w:rPr>
    </w:pPr>
    <w:r>
      <w:rPr>
        <w:rStyle w:val="PageNumber"/>
      </w:rPr>
      <w:fldChar w:fldCharType="begin"/>
    </w:r>
    <w:r>
      <w:rPr>
        <w:rStyle w:val="PageNumber"/>
      </w:rPr>
      <w:instrText xml:space="preserve"> PAGE </w:instrText>
    </w:r>
    <w:r>
      <w:rPr>
        <w:rStyle w:val="PageNumber"/>
      </w:rPr>
      <w:fldChar w:fldCharType="separate"/>
    </w:r>
    <w:r w:rsidR="000A5CD3">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239" w:rsidRDefault="00645239" w:rsidP="00C07DEC">
      <w:r>
        <w:separator/>
      </w:r>
    </w:p>
  </w:footnote>
  <w:footnote w:type="continuationSeparator" w:id="0">
    <w:p w:rsidR="00645239" w:rsidRDefault="00645239" w:rsidP="00C07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54" w:rsidRDefault="00224154">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crest_ministerial" style="width:69.35pt;height:54.2pt;visibility:visible">
          <v:imagedata r:id="rId1" o:title="crest_ministerial"/>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54" w:rsidRDefault="005F2CCC" w:rsidP="0012022D">
    <w:pPr>
      <w:pStyle w:val="HeaderEven"/>
    </w:pPr>
    <w:r>
      <w:t>PBO</w:t>
    </w:r>
    <w:r w:rsidR="00224154">
      <w:t xml:space="preserve"> Budget Statements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54" w:rsidRPr="0080428A" w:rsidRDefault="00224154" w:rsidP="0080428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28A" w:rsidRPr="00541282" w:rsidRDefault="0080428A" w:rsidP="0054128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28A" w:rsidRPr="00541282" w:rsidRDefault="0080428A" w:rsidP="0054128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28A" w:rsidRPr="00541282" w:rsidRDefault="0080428A" w:rsidP="00541282">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282" w:rsidRPr="00950281" w:rsidRDefault="00541282" w:rsidP="00FD225C">
    <w:pPr>
      <w:pStyle w:val="HeaderEven"/>
      <w:jc w:val="right"/>
    </w:pPr>
    <w:r>
      <w:t>PBO Budget Statements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54" w:rsidRPr="00F10D71" w:rsidRDefault="004427D0" w:rsidP="00FD225C">
    <w:pPr>
      <w:pStyle w:val="HeaderOdd"/>
      <w:jc w:val="left"/>
    </w:pPr>
    <w:r>
      <w:t xml:space="preserve">PBO </w:t>
    </w:r>
    <w:r w:rsidR="00224154">
      <w:t>Budget Statements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5C" w:rsidRPr="00F10D71" w:rsidRDefault="00FD225C" w:rsidP="0016069A">
    <w:pPr>
      <w:pStyle w:val="HeaderOdd"/>
    </w:pPr>
    <w:r>
      <w:t>PBO Budget Statements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BEA" w:rsidRPr="00F10D71" w:rsidRDefault="00D45BEA" w:rsidP="00D45BEA">
    <w:pPr>
      <w:pStyle w:val="HeaderOdd"/>
      <w:jc w:val="left"/>
    </w:pPr>
    <w:r>
      <w:t>PBO Budget Statements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5C" w:rsidRPr="00F10D71" w:rsidRDefault="00FD225C" w:rsidP="00FD225C">
    <w:pPr>
      <w:pStyle w:val="HeaderOdd"/>
    </w:pPr>
    <w:r>
      <w:t>PBO Budget Statements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54" w:rsidRDefault="00224154">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5C" w:rsidRPr="00F10D71" w:rsidRDefault="00FD225C" w:rsidP="00FD225C">
    <w:pPr>
      <w:pStyle w:val="HeaderOdd"/>
      <w:jc w:val="left"/>
    </w:pPr>
    <w:r>
      <w:t>PBO Budget Statements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5C" w:rsidRPr="00F10D71" w:rsidRDefault="00FD225C" w:rsidP="00FD225C">
    <w:pPr>
      <w:pStyle w:val="HeaderOdd"/>
    </w:pPr>
    <w:r>
      <w:t>PBO Budget Statements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5C" w:rsidRPr="00F10D71" w:rsidRDefault="00FD225C" w:rsidP="00FD225C">
    <w:pPr>
      <w:pStyle w:val="HeaderOdd"/>
      <w:jc w:val="left"/>
    </w:pPr>
    <w:r>
      <w:t>PBO Budget Statements</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5C" w:rsidRPr="00F10D71" w:rsidRDefault="00FD225C" w:rsidP="00FD225C">
    <w:pPr>
      <w:pStyle w:val="HeaderOdd"/>
    </w:pPr>
    <w:r>
      <w:t>PBO Budget Statements</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5C" w:rsidRPr="00F10D71" w:rsidRDefault="00FD225C" w:rsidP="00FD225C">
    <w:pPr>
      <w:pStyle w:val="HeaderOdd"/>
      <w:jc w:val="left"/>
    </w:pPr>
    <w:r>
      <w:t>PBO Budget Statements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54" w:rsidRDefault="002241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54" w:rsidRDefault="0022415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54" w:rsidRDefault="0022415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54" w:rsidRDefault="0022415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54" w:rsidRDefault="0022415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54" w:rsidRDefault="0022415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54" w:rsidRDefault="004B43F8" w:rsidP="0012022D">
    <w:pPr>
      <w:pStyle w:val="HeaderEven"/>
      <w:jc w:val="right"/>
    </w:pPr>
    <w:r>
      <w:t>PBO</w:t>
    </w:r>
    <w:r w:rsidR="00224154">
      <w:t xml:space="preserve"> Budget Statements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9A41C2"/>
    <w:lvl w:ilvl="0">
      <w:start w:val="1"/>
      <w:numFmt w:val="decimal"/>
      <w:lvlText w:val="%1."/>
      <w:lvlJc w:val="left"/>
      <w:pPr>
        <w:tabs>
          <w:tab w:val="num" w:pos="1492"/>
        </w:tabs>
        <w:ind w:left="1492" w:hanging="360"/>
      </w:pPr>
    </w:lvl>
  </w:abstractNum>
  <w:abstractNum w:abstractNumId="1">
    <w:nsid w:val="FFFFFF7D"/>
    <w:multiLevelType w:val="singleLevel"/>
    <w:tmpl w:val="9C2260DE"/>
    <w:lvl w:ilvl="0">
      <w:start w:val="1"/>
      <w:numFmt w:val="decimal"/>
      <w:lvlText w:val="%1."/>
      <w:lvlJc w:val="left"/>
      <w:pPr>
        <w:tabs>
          <w:tab w:val="num" w:pos="1209"/>
        </w:tabs>
        <w:ind w:left="1209" w:hanging="360"/>
      </w:pPr>
    </w:lvl>
  </w:abstractNum>
  <w:abstractNum w:abstractNumId="2">
    <w:nsid w:val="FFFFFF7E"/>
    <w:multiLevelType w:val="singleLevel"/>
    <w:tmpl w:val="1AD0FD70"/>
    <w:lvl w:ilvl="0">
      <w:start w:val="1"/>
      <w:numFmt w:val="decimal"/>
      <w:lvlText w:val="%1."/>
      <w:lvlJc w:val="left"/>
      <w:pPr>
        <w:tabs>
          <w:tab w:val="num" w:pos="926"/>
        </w:tabs>
        <w:ind w:left="926" w:hanging="360"/>
      </w:pPr>
    </w:lvl>
  </w:abstractNum>
  <w:abstractNum w:abstractNumId="3">
    <w:nsid w:val="FFFFFF7F"/>
    <w:multiLevelType w:val="singleLevel"/>
    <w:tmpl w:val="0F464428"/>
    <w:lvl w:ilvl="0">
      <w:start w:val="1"/>
      <w:numFmt w:val="decimal"/>
      <w:lvlText w:val="%1."/>
      <w:lvlJc w:val="left"/>
      <w:pPr>
        <w:tabs>
          <w:tab w:val="num" w:pos="643"/>
        </w:tabs>
        <w:ind w:left="643" w:hanging="360"/>
      </w:pPr>
    </w:lvl>
  </w:abstractNum>
  <w:abstractNum w:abstractNumId="4">
    <w:nsid w:val="FFFFFF80"/>
    <w:multiLevelType w:val="singleLevel"/>
    <w:tmpl w:val="EAF8F1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4628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9C4DB2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0268D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9F8010A"/>
    <w:lvl w:ilvl="0">
      <w:start w:val="1"/>
      <w:numFmt w:val="decimal"/>
      <w:lvlText w:val="%1."/>
      <w:lvlJc w:val="left"/>
      <w:pPr>
        <w:tabs>
          <w:tab w:val="num" w:pos="360"/>
        </w:tabs>
        <w:ind w:left="360" w:hanging="360"/>
      </w:pPr>
    </w:lvl>
  </w:abstractNum>
  <w:abstractNum w:abstractNumId="9">
    <w:nsid w:val="FFFFFF89"/>
    <w:multiLevelType w:val="singleLevel"/>
    <w:tmpl w:val="E876BCA0"/>
    <w:lvl w:ilvl="0">
      <w:start w:val="1"/>
      <w:numFmt w:val="bullet"/>
      <w:lvlText w:val=""/>
      <w:lvlJc w:val="left"/>
      <w:pPr>
        <w:tabs>
          <w:tab w:val="num" w:pos="360"/>
        </w:tabs>
        <w:ind w:left="360" w:hanging="360"/>
      </w:pPr>
      <w:rPr>
        <w:rFonts w:ascii="Symbol" w:hAnsi="Symbol" w:hint="default"/>
      </w:rPr>
    </w:lvl>
  </w:abstractNum>
  <w:abstractNum w:abstractNumId="10">
    <w:nsid w:val="011A79F5"/>
    <w:multiLevelType w:val="hybridMultilevel"/>
    <w:tmpl w:val="DBC49872"/>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4">
    <w:nsid w:val="13D50B51"/>
    <w:multiLevelType w:val="hybridMultilevel"/>
    <w:tmpl w:val="A0985AC2"/>
    <w:lvl w:ilvl="0" w:tplc="51ACA710">
      <w:start w:val="1"/>
      <w:numFmt w:val="bullet"/>
      <w:lvlText w:val=""/>
      <w:lvlJc w:val="left"/>
      <w:pPr>
        <w:ind w:left="401" w:hanging="285"/>
      </w:pPr>
      <w:rPr>
        <w:rFonts w:ascii="Symbol" w:eastAsia="Symbol" w:hAnsi="Symbol" w:hint="default"/>
        <w:color w:val="231F20"/>
        <w:sz w:val="20"/>
        <w:szCs w:val="20"/>
      </w:rPr>
    </w:lvl>
    <w:lvl w:ilvl="1" w:tplc="AD401F74">
      <w:start w:val="1"/>
      <w:numFmt w:val="bullet"/>
      <w:lvlText w:val="•"/>
      <w:lvlJc w:val="left"/>
      <w:pPr>
        <w:ind w:left="1155" w:hanging="285"/>
      </w:pPr>
      <w:rPr>
        <w:rFonts w:hint="default"/>
      </w:rPr>
    </w:lvl>
    <w:lvl w:ilvl="2" w:tplc="F43E8634">
      <w:start w:val="1"/>
      <w:numFmt w:val="bullet"/>
      <w:lvlText w:val="•"/>
      <w:lvlJc w:val="left"/>
      <w:pPr>
        <w:ind w:left="1909" w:hanging="285"/>
      </w:pPr>
      <w:rPr>
        <w:rFonts w:hint="default"/>
      </w:rPr>
    </w:lvl>
    <w:lvl w:ilvl="3" w:tplc="0D90A45C">
      <w:start w:val="1"/>
      <w:numFmt w:val="bullet"/>
      <w:lvlText w:val="•"/>
      <w:lvlJc w:val="left"/>
      <w:pPr>
        <w:ind w:left="2663" w:hanging="285"/>
      </w:pPr>
      <w:rPr>
        <w:rFonts w:hint="default"/>
      </w:rPr>
    </w:lvl>
    <w:lvl w:ilvl="4" w:tplc="EF74C346">
      <w:start w:val="1"/>
      <w:numFmt w:val="bullet"/>
      <w:lvlText w:val="•"/>
      <w:lvlJc w:val="left"/>
      <w:pPr>
        <w:ind w:left="3417" w:hanging="285"/>
      </w:pPr>
      <w:rPr>
        <w:rFonts w:hint="default"/>
      </w:rPr>
    </w:lvl>
    <w:lvl w:ilvl="5" w:tplc="DE945CDE">
      <w:start w:val="1"/>
      <w:numFmt w:val="bullet"/>
      <w:lvlText w:val="•"/>
      <w:lvlJc w:val="left"/>
      <w:pPr>
        <w:ind w:left="4171" w:hanging="285"/>
      </w:pPr>
      <w:rPr>
        <w:rFonts w:hint="default"/>
      </w:rPr>
    </w:lvl>
    <w:lvl w:ilvl="6" w:tplc="0C3230A0">
      <w:start w:val="1"/>
      <w:numFmt w:val="bullet"/>
      <w:lvlText w:val="•"/>
      <w:lvlJc w:val="left"/>
      <w:pPr>
        <w:ind w:left="4925" w:hanging="285"/>
      </w:pPr>
      <w:rPr>
        <w:rFonts w:hint="default"/>
      </w:rPr>
    </w:lvl>
    <w:lvl w:ilvl="7" w:tplc="D51AEDC0">
      <w:start w:val="1"/>
      <w:numFmt w:val="bullet"/>
      <w:lvlText w:val="•"/>
      <w:lvlJc w:val="left"/>
      <w:pPr>
        <w:ind w:left="5680" w:hanging="285"/>
      </w:pPr>
      <w:rPr>
        <w:rFonts w:hint="default"/>
      </w:rPr>
    </w:lvl>
    <w:lvl w:ilvl="8" w:tplc="9D66C13A">
      <w:start w:val="1"/>
      <w:numFmt w:val="bullet"/>
      <w:lvlText w:val="•"/>
      <w:lvlJc w:val="left"/>
      <w:pPr>
        <w:ind w:left="6434" w:hanging="285"/>
      </w:pPr>
      <w:rPr>
        <w:rFonts w:hint="default"/>
      </w:rPr>
    </w:lvl>
  </w:abstractNum>
  <w:abstractNum w:abstractNumId="15">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nsid w:val="1CD12A77"/>
    <w:multiLevelType w:val="hybridMultilevel"/>
    <w:tmpl w:val="BFFE2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E351F8A"/>
    <w:multiLevelType w:val="hybridMultilevel"/>
    <w:tmpl w:val="5F2C7E06"/>
    <w:lvl w:ilvl="0" w:tplc="5092708A">
      <w:start w:val="1"/>
      <w:numFmt w:val="bullet"/>
      <w:pStyle w:val="PBO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2">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3">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7">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8">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12"/>
  </w:num>
  <w:num w:numId="3">
    <w:abstractNumId w:val="26"/>
  </w:num>
  <w:num w:numId="4">
    <w:abstractNumId w:val="21"/>
    <w:lvlOverride w:ilvl="0">
      <w:startOverride w:val="1"/>
    </w:lvlOverride>
  </w:num>
  <w:num w:numId="5">
    <w:abstractNumId w:val="27"/>
  </w:num>
  <w:num w:numId="6">
    <w:abstractNumId w:val="19"/>
  </w:num>
  <w:num w:numId="7">
    <w:abstractNumId w:val="24"/>
  </w:num>
  <w:num w:numId="8">
    <w:abstractNumId w:val="20"/>
  </w:num>
  <w:num w:numId="9">
    <w:abstractNumId w:val="15"/>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11"/>
  </w:num>
  <w:num w:numId="15">
    <w:abstractNumId w:val="28"/>
  </w:num>
  <w:num w:numId="16">
    <w:abstractNumId w:val="18"/>
  </w:num>
  <w:num w:numId="17">
    <w:abstractNumId w:val="10"/>
  </w:num>
  <w:num w:numId="18">
    <w:abstractNumId w:val="23"/>
  </w:num>
  <w:num w:numId="19">
    <w:abstractNumId w:val="21"/>
    <w:lvlOverride w:ilvl="0">
      <w:startOverride w:val="1"/>
    </w:lvlOverride>
  </w:num>
  <w:num w:numId="20">
    <w:abstractNumId w:val="21"/>
    <w:lvlOverride w:ilvl="0">
      <w:startOverride w:val="1"/>
    </w:lvlOverride>
  </w:num>
  <w:num w:numId="21">
    <w:abstractNumId w:val="2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1"/>
    <w:lvlOverride w:ilvl="0">
      <w:startOverride w:val="1"/>
    </w:lvlOverride>
  </w:num>
  <w:num w:numId="33">
    <w:abstractNumId w:val="17"/>
  </w:num>
  <w:num w:numId="34">
    <w:abstractNumId w:val="14"/>
  </w:num>
  <w:num w:numId="3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NotTrackMoves/>
  <w:defaultTabStop w:val="567"/>
  <w:evenAndOddHeaders/>
  <w:drawingGridHorizontalSpacing w:val="10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57F"/>
    <w:rsid w:val="000000C3"/>
    <w:rsid w:val="0000358C"/>
    <w:rsid w:val="00003AC4"/>
    <w:rsid w:val="00006AE4"/>
    <w:rsid w:val="0000711B"/>
    <w:rsid w:val="0001294C"/>
    <w:rsid w:val="00012BB0"/>
    <w:rsid w:val="00012D73"/>
    <w:rsid w:val="00013D25"/>
    <w:rsid w:val="0001438C"/>
    <w:rsid w:val="00016D95"/>
    <w:rsid w:val="00017619"/>
    <w:rsid w:val="00020573"/>
    <w:rsid w:val="000216BF"/>
    <w:rsid w:val="00021DA6"/>
    <w:rsid w:val="000220B0"/>
    <w:rsid w:val="00027EC3"/>
    <w:rsid w:val="000300D7"/>
    <w:rsid w:val="00030FDA"/>
    <w:rsid w:val="00036095"/>
    <w:rsid w:val="000364F3"/>
    <w:rsid w:val="000366AE"/>
    <w:rsid w:val="000369AC"/>
    <w:rsid w:val="0003724F"/>
    <w:rsid w:val="00037BA1"/>
    <w:rsid w:val="0004076C"/>
    <w:rsid w:val="000413D4"/>
    <w:rsid w:val="00042FDD"/>
    <w:rsid w:val="0004509D"/>
    <w:rsid w:val="00045667"/>
    <w:rsid w:val="00054A04"/>
    <w:rsid w:val="00054CC3"/>
    <w:rsid w:val="0005600E"/>
    <w:rsid w:val="00056260"/>
    <w:rsid w:val="0005722F"/>
    <w:rsid w:val="000606CB"/>
    <w:rsid w:val="00060890"/>
    <w:rsid w:val="00061FD8"/>
    <w:rsid w:val="00063C44"/>
    <w:rsid w:val="00063CE1"/>
    <w:rsid w:val="000641DA"/>
    <w:rsid w:val="00065053"/>
    <w:rsid w:val="000655E4"/>
    <w:rsid w:val="000656AD"/>
    <w:rsid w:val="00065C71"/>
    <w:rsid w:val="00066BBA"/>
    <w:rsid w:val="00067B6F"/>
    <w:rsid w:val="00067E1D"/>
    <w:rsid w:val="0007064C"/>
    <w:rsid w:val="000712EE"/>
    <w:rsid w:val="000725C0"/>
    <w:rsid w:val="00074CE6"/>
    <w:rsid w:val="000768A5"/>
    <w:rsid w:val="00077277"/>
    <w:rsid w:val="0007743A"/>
    <w:rsid w:val="00080069"/>
    <w:rsid w:val="00080F4F"/>
    <w:rsid w:val="00082159"/>
    <w:rsid w:val="0008449F"/>
    <w:rsid w:val="00084643"/>
    <w:rsid w:val="000873F0"/>
    <w:rsid w:val="000906C1"/>
    <w:rsid w:val="000924A7"/>
    <w:rsid w:val="00094B28"/>
    <w:rsid w:val="00095824"/>
    <w:rsid w:val="00096568"/>
    <w:rsid w:val="00096DEE"/>
    <w:rsid w:val="00097063"/>
    <w:rsid w:val="00097336"/>
    <w:rsid w:val="000975DA"/>
    <w:rsid w:val="000A1A89"/>
    <w:rsid w:val="000A1C91"/>
    <w:rsid w:val="000A24C4"/>
    <w:rsid w:val="000A345B"/>
    <w:rsid w:val="000A372A"/>
    <w:rsid w:val="000A395D"/>
    <w:rsid w:val="000A532C"/>
    <w:rsid w:val="000A56A5"/>
    <w:rsid w:val="000A5C86"/>
    <w:rsid w:val="000A5CD3"/>
    <w:rsid w:val="000A6897"/>
    <w:rsid w:val="000A6DBE"/>
    <w:rsid w:val="000A7E1F"/>
    <w:rsid w:val="000B1FC4"/>
    <w:rsid w:val="000B21D6"/>
    <w:rsid w:val="000B2404"/>
    <w:rsid w:val="000B36D8"/>
    <w:rsid w:val="000B3B7D"/>
    <w:rsid w:val="000B60E4"/>
    <w:rsid w:val="000B6E38"/>
    <w:rsid w:val="000B7E52"/>
    <w:rsid w:val="000C056F"/>
    <w:rsid w:val="000C1928"/>
    <w:rsid w:val="000C19B3"/>
    <w:rsid w:val="000C19EF"/>
    <w:rsid w:val="000C2D7D"/>
    <w:rsid w:val="000C3B86"/>
    <w:rsid w:val="000C6A39"/>
    <w:rsid w:val="000C6FB8"/>
    <w:rsid w:val="000D13E5"/>
    <w:rsid w:val="000D43DE"/>
    <w:rsid w:val="000D58A1"/>
    <w:rsid w:val="000D7E54"/>
    <w:rsid w:val="000E0A85"/>
    <w:rsid w:val="000E2F5F"/>
    <w:rsid w:val="000E68E3"/>
    <w:rsid w:val="000E6DDB"/>
    <w:rsid w:val="000E74A6"/>
    <w:rsid w:val="000F03B1"/>
    <w:rsid w:val="000F07BE"/>
    <w:rsid w:val="000F08AE"/>
    <w:rsid w:val="000F2D33"/>
    <w:rsid w:val="000F43F4"/>
    <w:rsid w:val="000F440E"/>
    <w:rsid w:val="000F6647"/>
    <w:rsid w:val="000F73B7"/>
    <w:rsid w:val="000F7E7B"/>
    <w:rsid w:val="001002F8"/>
    <w:rsid w:val="00102654"/>
    <w:rsid w:val="001028CC"/>
    <w:rsid w:val="001045F9"/>
    <w:rsid w:val="0010472B"/>
    <w:rsid w:val="0010657F"/>
    <w:rsid w:val="00106CAB"/>
    <w:rsid w:val="00111159"/>
    <w:rsid w:val="00112D0F"/>
    <w:rsid w:val="001133E0"/>
    <w:rsid w:val="00115DE5"/>
    <w:rsid w:val="001163D6"/>
    <w:rsid w:val="0011726A"/>
    <w:rsid w:val="0012022D"/>
    <w:rsid w:val="00120B5E"/>
    <w:rsid w:val="00121EB0"/>
    <w:rsid w:val="0012228D"/>
    <w:rsid w:val="00122FC0"/>
    <w:rsid w:val="00123218"/>
    <w:rsid w:val="00123925"/>
    <w:rsid w:val="00126641"/>
    <w:rsid w:val="00133D3A"/>
    <w:rsid w:val="001352EE"/>
    <w:rsid w:val="00135505"/>
    <w:rsid w:val="001364A7"/>
    <w:rsid w:val="00136827"/>
    <w:rsid w:val="001375D4"/>
    <w:rsid w:val="00143E88"/>
    <w:rsid w:val="001455D8"/>
    <w:rsid w:val="00146B5E"/>
    <w:rsid w:val="0014790A"/>
    <w:rsid w:val="00151ABB"/>
    <w:rsid w:val="00154447"/>
    <w:rsid w:val="001549BE"/>
    <w:rsid w:val="00154CDE"/>
    <w:rsid w:val="00154F5B"/>
    <w:rsid w:val="0016069A"/>
    <w:rsid w:val="00161DAC"/>
    <w:rsid w:val="00162B55"/>
    <w:rsid w:val="00162D8B"/>
    <w:rsid w:val="00163101"/>
    <w:rsid w:val="001638E9"/>
    <w:rsid w:val="00165824"/>
    <w:rsid w:val="001666EA"/>
    <w:rsid w:val="00171A85"/>
    <w:rsid w:val="00174565"/>
    <w:rsid w:val="00175BB3"/>
    <w:rsid w:val="00177A9A"/>
    <w:rsid w:val="001808A4"/>
    <w:rsid w:val="00180FF3"/>
    <w:rsid w:val="001815A5"/>
    <w:rsid w:val="00182740"/>
    <w:rsid w:val="00184071"/>
    <w:rsid w:val="00186850"/>
    <w:rsid w:val="001904A5"/>
    <w:rsid w:val="001923C8"/>
    <w:rsid w:val="001939FF"/>
    <w:rsid w:val="00194DE8"/>
    <w:rsid w:val="00194F91"/>
    <w:rsid w:val="00197990"/>
    <w:rsid w:val="001A0106"/>
    <w:rsid w:val="001A02CB"/>
    <w:rsid w:val="001A11DB"/>
    <w:rsid w:val="001A33F4"/>
    <w:rsid w:val="001A6256"/>
    <w:rsid w:val="001A6F29"/>
    <w:rsid w:val="001A789B"/>
    <w:rsid w:val="001B03CC"/>
    <w:rsid w:val="001B0C75"/>
    <w:rsid w:val="001B368E"/>
    <w:rsid w:val="001B44C2"/>
    <w:rsid w:val="001B4EC1"/>
    <w:rsid w:val="001B659F"/>
    <w:rsid w:val="001B7399"/>
    <w:rsid w:val="001B7655"/>
    <w:rsid w:val="001B7BAD"/>
    <w:rsid w:val="001B7F09"/>
    <w:rsid w:val="001C1166"/>
    <w:rsid w:val="001C1C7A"/>
    <w:rsid w:val="001C261E"/>
    <w:rsid w:val="001C3AC7"/>
    <w:rsid w:val="001C40CD"/>
    <w:rsid w:val="001C7B78"/>
    <w:rsid w:val="001C7FB4"/>
    <w:rsid w:val="001D0BA6"/>
    <w:rsid w:val="001D1903"/>
    <w:rsid w:val="001D1942"/>
    <w:rsid w:val="001D1DDB"/>
    <w:rsid w:val="001D53EA"/>
    <w:rsid w:val="001D59A6"/>
    <w:rsid w:val="001D6F7C"/>
    <w:rsid w:val="001E0156"/>
    <w:rsid w:val="001E12A5"/>
    <w:rsid w:val="001E1BF9"/>
    <w:rsid w:val="001E1EDB"/>
    <w:rsid w:val="001E3A18"/>
    <w:rsid w:val="001E7093"/>
    <w:rsid w:val="001E717D"/>
    <w:rsid w:val="001E71F5"/>
    <w:rsid w:val="001E7D86"/>
    <w:rsid w:val="001F377B"/>
    <w:rsid w:val="001F3CF9"/>
    <w:rsid w:val="001F55E5"/>
    <w:rsid w:val="001F5CB9"/>
    <w:rsid w:val="00200DC3"/>
    <w:rsid w:val="002011E2"/>
    <w:rsid w:val="00201BB9"/>
    <w:rsid w:val="00202925"/>
    <w:rsid w:val="00202C70"/>
    <w:rsid w:val="002050B0"/>
    <w:rsid w:val="00205D80"/>
    <w:rsid w:val="00210874"/>
    <w:rsid w:val="0021093F"/>
    <w:rsid w:val="002133CA"/>
    <w:rsid w:val="002146B5"/>
    <w:rsid w:val="00215783"/>
    <w:rsid w:val="0021644B"/>
    <w:rsid w:val="00216DC9"/>
    <w:rsid w:val="00217CA0"/>
    <w:rsid w:val="002202EB"/>
    <w:rsid w:val="00220FCF"/>
    <w:rsid w:val="00221705"/>
    <w:rsid w:val="002231C8"/>
    <w:rsid w:val="00224154"/>
    <w:rsid w:val="00231923"/>
    <w:rsid w:val="00231AF8"/>
    <w:rsid w:val="002329C3"/>
    <w:rsid w:val="002332AE"/>
    <w:rsid w:val="002333C2"/>
    <w:rsid w:val="00234040"/>
    <w:rsid w:val="00235D67"/>
    <w:rsid w:val="0023626B"/>
    <w:rsid w:val="00244D22"/>
    <w:rsid w:val="00246C09"/>
    <w:rsid w:val="00247262"/>
    <w:rsid w:val="0025382C"/>
    <w:rsid w:val="0025616B"/>
    <w:rsid w:val="00257285"/>
    <w:rsid w:val="00257FF4"/>
    <w:rsid w:val="002608CE"/>
    <w:rsid w:val="0026279C"/>
    <w:rsid w:val="00262CD3"/>
    <w:rsid w:val="00265289"/>
    <w:rsid w:val="00266613"/>
    <w:rsid w:val="00266FE9"/>
    <w:rsid w:val="00272396"/>
    <w:rsid w:val="0027614D"/>
    <w:rsid w:val="0027651A"/>
    <w:rsid w:val="0028001E"/>
    <w:rsid w:val="00281CF6"/>
    <w:rsid w:val="0028359B"/>
    <w:rsid w:val="002857FE"/>
    <w:rsid w:val="00290933"/>
    <w:rsid w:val="00291E57"/>
    <w:rsid w:val="00292D6A"/>
    <w:rsid w:val="0029312A"/>
    <w:rsid w:val="0029325C"/>
    <w:rsid w:val="00293B2D"/>
    <w:rsid w:val="00293B46"/>
    <w:rsid w:val="002960B7"/>
    <w:rsid w:val="00297643"/>
    <w:rsid w:val="00297824"/>
    <w:rsid w:val="002A153F"/>
    <w:rsid w:val="002A40DC"/>
    <w:rsid w:val="002A5329"/>
    <w:rsid w:val="002A5C2D"/>
    <w:rsid w:val="002A61E5"/>
    <w:rsid w:val="002A7FC8"/>
    <w:rsid w:val="002B0A81"/>
    <w:rsid w:val="002B1CE7"/>
    <w:rsid w:val="002B2F0F"/>
    <w:rsid w:val="002B595D"/>
    <w:rsid w:val="002B5F6A"/>
    <w:rsid w:val="002B779E"/>
    <w:rsid w:val="002B7D6F"/>
    <w:rsid w:val="002B7D78"/>
    <w:rsid w:val="002C0552"/>
    <w:rsid w:val="002C0961"/>
    <w:rsid w:val="002C1CF7"/>
    <w:rsid w:val="002C25D0"/>
    <w:rsid w:val="002C2605"/>
    <w:rsid w:val="002C280B"/>
    <w:rsid w:val="002C2DB0"/>
    <w:rsid w:val="002C4D41"/>
    <w:rsid w:val="002C75B0"/>
    <w:rsid w:val="002C7703"/>
    <w:rsid w:val="002C7A63"/>
    <w:rsid w:val="002D0153"/>
    <w:rsid w:val="002D403A"/>
    <w:rsid w:val="002D4262"/>
    <w:rsid w:val="002D46B7"/>
    <w:rsid w:val="002D4C55"/>
    <w:rsid w:val="002E1064"/>
    <w:rsid w:val="002E2551"/>
    <w:rsid w:val="002E323F"/>
    <w:rsid w:val="002E5554"/>
    <w:rsid w:val="002F1B12"/>
    <w:rsid w:val="002F530C"/>
    <w:rsid w:val="002F591B"/>
    <w:rsid w:val="002F7B47"/>
    <w:rsid w:val="00300013"/>
    <w:rsid w:val="003006F8"/>
    <w:rsid w:val="00300BF2"/>
    <w:rsid w:val="003027C1"/>
    <w:rsid w:val="00302A25"/>
    <w:rsid w:val="00304C13"/>
    <w:rsid w:val="00305718"/>
    <w:rsid w:val="00305EC5"/>
    <w:rsid w:val="00306107"/>
    <w:rsid w:val="003077B8"/>
    <w:rsid w:val="003111F8"/>
    <w:rsid w:val="0031204A"/>
    <w:rsid w:val="0031272B"/>
    <w:rsid w:val="00315435"/>
    <w:rsid w:val="0032038C"/>
    <w:rsid w:val="00321889"/>
    <w:rsid w:val="00325C5E"/>
    <w:rsid w:val="0032692B"/>
    <w:rsid w:val="0032738E"/>
    <w:rsid w:val="00331B40"/>
    <w:rsid w:val="00331C5F"/>
    <w:rsid w:val="00333074"/>
    <w:rsid w:val="00333223"/>
    <w:rsid w:val="00333A43"/>
    <w:rsid w:val="00334F7E"/>
    <w:rsid w:val="003364C1"/>
    <w:rsid w:val="00337F82"/>
    <w:rsid w:val="00340640"/>
    <w:rsid w:val="003435D6"/>
    <w:rsid w:val="003458E0"/>
    <w:rsid w:val="00345CCD"/>
    <w:rsid w:val="003511CE"/>
    <w:rsid w:val="00351909"/>
    <w:rsid w:val="00352BE0"/>
    <w:rsid w:val="0035333E"/>
    <w:rsid w:val="003538F0"/>
    <w:rsid w:val="00357DAE"/>
    <w:rsid w:val="003602A5"/>
    <w:rsid w:val="00361259"/>
    <w:rsid w:val="00361429"/>
    <w:rsid w:val="00362AA7"/>
    <w:rsid w:val="003705BF"/>
    <w:rsid w:val="00370935"/>
    <w:rsid w:val="00371C1A"/>
    <w:rsid w:val="00375E52"/>
    <w:rsid w:val="00380D9F"/>
    <w:rsid w:val="00382234"/>
    <w:rsid w:val="0038672F"/>
    <w:rsid w:val="00386BC9"/>
    <w:rsid w:val="00386F24"/>
    <w:rsid w:val="003876AB"/>
    <w:rsid w:val="00387957"/>
    <w:rsid w:val="0039053D"/>
    <w:rsid w:val="0039449C"/>
    <w:rsid w:val="00396296"/>
    <w:rsid w:val="0039684C"/>
    <w:rsid w:val="003A0290"/>
    <w:rsid w:val="003A25BB"/>
    <w:rsid w:val="003A300D"/>
    <w:rsid w:val="003A3E7B"/>
    <w:rsid w:val="003A7067"/>
    <w:rsid w:val="003B09F6"/>
    <w:rsid w:val="003B0D03"/>
    <w:rsid w:val="003B1F0A"/>
    <w:rsid w:val="003B2C1F"/>
    <w:rsid w:val="003B5533"/>
    <w:rsid w:val="003B5A85"/>
    <w:rsid w:val="003B71EE"/>
    <w:rsid w:val="003B7621"/>
    <w:rsid w:val="003B7C64"/>
    <w:rsid w:val="003C0593"/>
    <w:rsid w:val="003C13A6"/>
    <w:rsid w:val="003C1EB4"/>
    <w:rsid w:val="003C4E3A"/>
    <w:rsid w:val="003D1E47"/>
    <w:rsid w:val="003D3662"/>
    <w:rsid w:val="003D3C14"/>
    <w:rsid w:val="003D4557"/>
    <w:rsid w:val="003D543D"/>
    <w:rsid w:val="003D59FD"/>
    <w:rsid w:val="003E0AC1"/>
    <w:rsid w:val="003E10B8"/>
    <w:rsid w:val="003E122D"/>
    <w:rsid w:val="003E13F5"/>
    <w:rsid w:val="003E1978"/>
    <w:rsid w:val="003E2B5E"/>
    <w:rsid w:val="003E3FF4"/>
    <w:rsid w:val="003E4E15"/>
    <w:rsid w:val="003E5AE8"/>
    <w:rsid w:val="003E6F7C"/>
    <w:rsid w:val="003F07EE"/>
    <w:rsid w:val="003F29F2"/>
    <w:rsid w:val="003F3C77"/>
    <w:rsid w:val="003F47DF"/>
    <w:rsid w:val="003F5F01"/>
    <w:rsid w:val="003F6209"/>
    <w:rsid w:val="0040314A"/>
    <w:rsid w:val="00405DAB"/>
    <w:rsid w:val="00405E90"/>
    <w:rsid w:val="004065CE"/>
    <w:rsid w:val="00406802"/>
    <w:rsid w:val="004105DD"/>
    <w:rsid w:val="00410DCE"/>
    <w:rsid w:val="00412C0B"/>
    <w:rsid w:val="0041404E"/>
    <w:rsid w:val="0041429D"/>
    <w:rsid w:val="004147D0"/>
    <w:rsid w:val="00414E1F"/>
    <w:rsid w:val="0041765C"/>
    <w:rsid w:val="00420016"/>
    <w:rsid w:val="00420837"/>
    <w:rsid w:val="00421EEC"/>
    <w:rsid w:val="00422933"/>
    <w:rsid w:val="00422F4B"/>
    <w:rsid w:val="004248B4"/>
    <w:rsid w:val="00424C66"/>
    <w:rsid w:val="0042526D"/>
    <w:rsid w:val="004254A2"/>
    <w:rsid w:val="00426D71"/>
    <w:rsid w:val="00430256"/>
    <w:rsid w:val="00430E3D"/>
    <w:rsid w:val="00431BF1"/>
    <w:rsid w:val="00433D22"/>
    <w:rsid w:val="004342F8"/>
    <w:rsid w:val="00434A2F"/>
    <w:rsid w:val="0044083A"/>
    <w:rsid w:val="004408FA"/>
    <w:rsid w:val="004427D0"/>
    <w:rsid w:val="0044552A"/>
    <w:rsid w:val="00445663"/>
    <w:rsid w:val="00446612"/>
    <w:rsid w:val="00447A6D"/>
    <w:rsid w:val="00450E44"/>
    <w:rsid w:val="00451501"/>
    <w:rsid w:val="004528D0"/>
    <w:rsid w:val="00453C86"/>
    <w:rsid w:val="00454564"/>
    <w:rsid w:val="004562E5"/>
    <w:rsid w:val="00457BC3"/>
    <w:rsid w:val="0046034D"/>
    <w:rsid w:val="00461801"/>
    <w:rsid w:val="00462272"/>
    <w:rsid w:val="0046390C"/>
    <w:rsid w:val="004646A7"/>
    <w:rsid w:val="00465D4E"/>
    <w:rsid w:val="00466381"/>
    <w:rsid w:val="00467BDD"/>
    <w:rsid w:val="004717F6"/>
    <w:rsid w:val="0047364D"/>
    <w:rsid w:val="0047481E"/>
    <w:rsid w:val="00474918"/>
    <w:rsid w:val="00475EAF"/>
    <w:rsid w:val="004815F8"/>
    <w:rsid w:val="00481C26"/>
    <w:rsid w:val="00481E32"/>
    <w:rsid w:val="004831ED"/>
    <w:rsid w:val="004831FC"/>
    <w:rsid w:val="004836A7"/>
    <w:rsid w:val="004847B4"/>
    <w:rsid w:val="00484921"/>
    <w:rsid w:val="00486614"/>
    <w:rsid w:val="00487E11"/>
    <w:rsid w:val="00487FB8"/>
    <w:rsid w:val="004919D4"/>
    <w:rsid w:val="00491FB2"/>
    <w:rsid w:val="0049212C"/>
    <w:rsid w:val="004936A1"/>
    <w:rsid w:val="00495C39"/>
    <w:rsid w:val="004A1224"/>
    <w:rsid w:val="004A247B"/>
    <w:rsid w:val="004A28C5"/>
    <w:rsid w:val="004A660C"/>
    <w:rsid w:val="004A6B44"/>
    <w:rsid w:val="004A6E0E"/>
    <w:rsid w:val="004B0B19"/>
    <w:rsid w:val="004B1E81"/>
    <w:rsid w:val="004B2CA0"/>
    <w:rsid w:val="004B35F0"/>
    <w:rsid w:val="004B37A7"/>
    <w:rsid w:val="004B43F8"/>
    <w:rsid w:val="004B4426"/>
    <w:rsid w:val="004B44E1"/>
    <w:rsid w:val="004B5F2A"/>
    <w:rsid w:val="004B74B2"/>
    <w:rsid w:val="004C1303"/>
    <w:rsid w:val="004C1399"/>
    <w:rsid w:val="004C1C09"/>
    <w:rsid w:val="004C28C9"/>
    <w:rsid w:val="004C2A17"/>
    <w:rsid w:val="004C2B0E"/>
    <w:rsid w:val="004C5507"/>
    <w:rsid w:val="004C5ACC"/>
    <w:rsid w:val="004D1E1A"/>
    <w:rsid w:val="004D1EFF"/>
    <w:rsid w:val="004D23A9"/>
    <w:rsid w:val="004D2683"/>
    <w:rsid w:val="004D29F5"/>
    <w:rsid w:val="004D2F90"/>
    <w:rsid w:val="004D7804"/>
    <w:rsid w:val="004E0308"/>
    <w:rsid w:val="004E0F6C"/>
    <w:rsid w:val="004E27FD"/>
    <w:rsid w:val="004E2825"/>
    <w:rsid w:val="004E3079"/>
    <w:rsid w:val="004E3276"/>
    <w:rsid w:val="004E3836"/>
    <w:rsid w:val="004E62E4"/>
    <w:rsid w:val="004E7C41"/>
    <w:rsid w:val="004F0E90"/>
    <w:rsid w:val="004F0F5B"/>
    <w:rsid w:val="004F22B8"/>
    <w:rsid w:val="004F2437"/>
    <w:rsid w:val="004F4624"/>
    <w:rsid w:val="004F5573"/>
    <w:rsid w:val="004F5D8B"/>
    <w:rsid w:val="004F634F"/>
    <w:rsid w:val="004F7556"/>
    <w:rsid w:val="00500700"/>
    <w:rsid w:val="0050141B"/>
    <w:rsid w:val="00502638"/>
    <w:rsid w:val="005029BC"/>
    <w:rsid w:val="0050346A"/>
    <w:rsid w:val="005048E3"/>
    <w:rsid w:val="00505A77"/>
    <w:rsid w:val="00505CB3"/>
    <w:rsid w:val="005067C7"/>
    <w:rsid w:val="00506EB0"/>
    <w:rsid w:val="0050798C"/>
    <w:rsid w:val="0051207B"/>
    <w:rsid w:val="005136CD"/>
    <w:rsid w:val="0051425A"/>
    <w:rsid w:val="00514B1A"/>
    <w:rsid w:val="00517351"/>
    <w:rsid w:val="00520972"/>
    <w:rsid w:val="00521860"/>
    <w:rsid w:val="005222CC"/>
    <w:rsid w:val="00522622"/>
    <w:rsid w:val="00524647"/>
    <w:rsid w:val="005250EE"/>
    <w:rsid w:val="00525AB1"/>
    <w:rsid w:val="00526B01"/>
    <w:rsid w:val="00527492"/>
    <w:rsid w:val="005277F5"/>
    <w:rsid w:val="005310C1"/>
    <w:rsid w:val="00531934"/>
    <w:rsid w:val="00532994"/>
    <w:rsid w:val="005329BE"/>
    <w:rsid w:val="00533515"/>
    <w:rsid w:val="005342DE"/>
    <w:rsid w:val="00534AC0"/>
    <w:rsid w:val="00535557"/>
    <w:rsid w:val="0053606A"/>
    <w:rsid w:val="005369C0"/>
    <w:rsid w:val="00540B25"/>
    <w:rsid w:val="00540D82"/>
    <w:rsid w:val="00541020"/>
    <w:rsid w:val="00541254"/>
    <w:rsid w:val="00541282"/>
    <w:rsid w:val="005421CC"/>
    <w:rsid w:val="00542BA5"/>
    <w:rsid w:val="00544841"/>
    <w:rsid w:val="00547A00"/>
    <w:rsid w:val="00547CD4"/>
    <w:rsid w:val="00547EB8"/>
    <w:rsid w:val="00552FC2"/>
    <w:rsid w:val="0055352A"/>
    <w:rsid w:val="00553DA2"/>
    <w:rsid w:val="005543FB"/>
    <w:rsid w:val="00555623"/>
    <w:rsid w:val="005562DC"/>
    <w:rsid w:val="00556725"/>
    <w:rsid w:val="00557A85"/>
    <w:rsid w:val="005606B5"/>
    <w:rsid w:val="00562BAD"/>
    <w:rsid w:val="0056365E"/>
    <w:rsid w:val="00565C77"/>
    <w:rsid w:val="00566181"/>
    <w:rsid w:val="005708BD"/>
    <w:rsid w:val="005731D3"/>
    <w:rsid w:val="00574906"/>
    <w:rsid w:val="00574E9E"/>
    <w:rsid w:val="005752BC"/>
    <w:rsid w:val="0057622F"/>
    <w:rsid w:val="00577977"/>
    <w:rsid w:val="00581719"/>
    <w:rsid w:val="00581D30"/>
    <w:rsid w:val="00583362"/>
    <w:rsid w:val="00584245"/>
    <w:rsid w:val="00584C2D"/>
    <w:rsid w:val="00584D80"/>
    <w:rsid w:val="00586535"/>
    <w:rsid w:val="00586BB5"/>
    <w:rsid w:val="00586DFB"/>
    <w:rsid w:val="00587842"/>
    <w:rsid w:val="005905BC"/>
    <w:rsid w:val="00590B75"/>
    <w:rsid w:val="00590DAA"/>
    <w:rsid w:val="0059205C"/>
    <w:rsid w:val="00592349"/>
    <w:rsid w:val="00596F3F"/>
    <w:rsid w:val="00597EEF"/>
    <w:rsid w:val="005A1C4E"/>
    <w:rsid w:val="005A3678"/>
    <w:rsid w:val="005A4A1A"/>
    <w:rsid w:val="005A61D3"/>
    <w:rsid w:val="005A7E70"/>
    <w:rsid w:val="005B1A53"/>
    <w:rsid w:val="005B40E8"/>
    <w:rsid w:val="005B6DAA"/>
    <w:rsid w:val="005B7314"/>
    <w:rsid w:val="005B7C27"/>
    <w:rsid w:val="005B7D8B"/>
    <w:rsid w:val="005C03F6"/>
    <w:rsid w:val="005C0475"/>
    <w:rsid w:val="005C1569"/>
    <w:rsid w:val="005C3C1A"/>
    <w:rsid w:val="005C4604"/>
    <w:rsid w:val="005C4BEE"/>
    <w:rsid w:val="005C6E74"/>
    <w:rsid w:val="005C781C"/>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7E2C"/>
    <w:rsid w:val="005F1ADE"/>
    <w:rsid w:val="005F29CD"/>
    <w:rsid w:val="005F2CCC"/>
    <w:rsid w:val="005F3175"/>
    <w:rsid w:val="005F3436"/>
    <w:rsid w:val="005F3506"/>
    <w:rsid w:val="005F41D8"/>
    <w:rsid w:val="005F4739"/>
    <w:rsid w:val="005F642B"/>
    <w:rsid w:val="005F67FC"/>
    <w:rsid w:val="00601630"/>
    <w:rsid w:val="00602376"/>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52B"/>
    <w:rsid w:val="00621A86"/>
    <w:rsid w:val="00623401"/>
    <w:rsid w:val="00625C40"/>
    <w:rsid w:val="00627E7C"/>
    <w:rsid w:val="00631369"/>
    <w:rsid w:val="00632481"/>
    <w:rsid w:val="0063262D"/>
    <w:rsid w:val="0063268B"/>
    <w:rsid w:val="00634673"/>
    <w:rsid w:val="00637BBD"/>
    <w:rsid w:val="00640D17"/>
    <w:rsid w:val="00641A99"/>
    <w:rsid w:val="00642768"/>
    <w:rsid w:val="00642A84"/>
    <w:rsid w:val="00645239"/>
    <w:rsid w:val="00645E69"/>
    <w:rsid w:val="00646130"/>
    <w:rsid w:val="00646ACE"/>
    <w:rsid w:val="006474C0"/>
    <w:rsid w:val="00647927"/>
    <w:rsid w:val="00652B9B"/>
    <w:rsid w:val="00652F78"/>
    <w:rsid w:val="00653743"/>
    <w:rsid w:val="00653DD9"/>
    <w:rsid w:val="00654E6A"/>
    <w:rsid w:val="006551FC"/>
    <w:rsid w:val="006575F3"/>
    <w:rsid w:val="00660871"/>
    <w:rsid w:val="00662809"/>
    <w:rsid w:val="00663728"/>
    <w:rsid w:val="00664E08"/>
    <w:rsid w:val="006650D0"/>
    <w:rsid w:val="00666C12"/>
    <w:rsid w:val="0066774D"/>
    <w:rsid w:val="00667F42"/>
    <w:rsid w:val="00671284"/>
    <w:rsid w:val="006727FC"/>
    <w:rsid w:val="00673906"/>
    <w:rsid w:val="006756CD"/>
    <w:rsid w:val="00676E5B"/>
    <w:rsid w:val="00677D6B"/>
    <w:rsid w:val="00680634"/>
    <w:rsid w:val="00680795"/>
    <w:rsid w:val="00682713"/>
    <w:rsid w:val="00683451"/>
    <w:rsid w:val="00683579"/>
    <w:rsid w:val="006854CE"/>
    <w:rsid w:val="00686B47"/>
    <w:rsid w:val="00686DFB"/>
    <w:rsid w:val="0068790B"/>
    <w:rsid w:val="006906E4"/>
    <w:rsid w:val="00691C54"/>
    <w:rsid w:val="00691E49"/>
    <w:rsid w:val="006922DC"/>
    <w:rsid w:val="006941DD"/>
    <w:rsid w:val="0069466B"/>
    <w:rsid w:val="006A257C"/>
    <w:rsid w:val="006A2615"/>
    <w:rsid w:val="006A4158"/>
    <w:rsid w:val="006A4E15"/>
    <w:rsid w:val="006A52EA"/>
    <w:rsid w:val="006A5866"/>
    <w:rsid w:val="006A643C"/>
    <w:rsid w:val="006B0BDF"/>
    <w:rsid w:val="006B0F54"/>
    <w:rsid w:val="006B3131"/>
    <w:rsid w:val="006B415B"/>
    <w:rsid w:val="006B4C95"/>
    <w:rsid w:val="006B4CBA"/>
    <w:rsid w:val="006C2E46"/>
    <w:rsid w:val="006C4E45"/>
    <w:rsid w:val="006C5EE1"/>
    <w:rsid w:val="006C61B1"/>
    <w:rsid w:val="006D0669"/>
    <w:rsid w:val="006D1D4E"/>
    <w:rsid w:val="006D3771"/>
    <w:rsid w:val="006D440A"/>
    <w:rsid w:val="006D592F"/>
    <w:rsid w:val="006D62BE"/>
    <w:rsid w:val="006D7B71"/>
    <w:rsid w:val="006E0006"/>
    <w:rsid w:val="006E0DF6"/>
    <w:rsid w:val="006E1BDE"/>
    <w:rsid w:val="006E336C"/>
    <w:rsid w:val="006E35A9"/>
    <w:rsid w:val="006E3B9E"/>
    <w:rsid w:val="006E4A27"/>
    <w:rsid w:val="006E4E86"/>
    <w:rsid w:val="006E5828"/>
    <w:rsid w:val="006E6BB9"/>
    <w:rsid w:val="006E74B4"/>
    <w:rsid w:val="006E784F"/>
    <w:rsid w:val="006F0B4F"/>
    <w:rsid w:val="006F0E97"/>
    <w:rsid w:val="006F2DF3"/>
    <w:rsid w:val="006F2DF9"/>
    <w:rsid w:val="006F3C6F"/>
    <w:rsid w:val="006F41C6"/>
    <w:rsid w:val="006F4E9B"/>
    <w:rsid w:val="006F5DD9"/>
    <w:rsid w:val="006F6FA2"/>
    <w:rsid w:val="007001D0"/>
    <w:rsid w:val="00700CE3"/>
    <w:rsid w:val="00701498"/>
    <w:rsid w:val="00701E70"/>
    <w:rsid w:val="00702341"/>
    <w:rsid w:val="00704F47"/>
    <w:rsid w:val="00706B3B"/>
    <w:rsid w:val="007072C2"/>
    <w:rsid w:val="0070746B"/>
    <w:rsid w:val="007075CA"/>
    <w:rsid w:val="0071151E"/>
    <w:rsid w:val="007118AC"/>
    <w:rsid w:val="00711FC7"/>
    <w:rsid w:val="0071482B"/>
    <w:rsid w:val="00714C8F"/>
    <w:rsid w:val="00715A32"/>
    <w:rsid w:val="00716F57"/>
    <w:rsid w:val="00717A74"/>
    <w:rsid w:val="00721409"/>
    <w:rsid w:val="00721CE0"/>
    <w:rsid w:val="007221A2"/>
    <w:rsid w:val="00722935"/>
    <w:rsid w:val="00727815"/>
    <w:rsid w:val="00730E31"/>
    <w:rsid w:val="007346F8"/>
    <w:rsid w:val="00734D66"/>
    <w:rsid w:val="00734E06"/>
    <w:rsid w:val="00735752"/>
    <w:rsid w:val="00736E9D"/>
    <w:rsid w:val="007373FA"/>
    <w:rsid w:val="00737E7D"/>
    <w:rsid w:val="0074063F"/>
    <w:rsid w:val="00740EF1"/>
    <w:rsid w:val="007444E7"/>
    <w:rsid w:val="00744DBD"/>
    <w:rsid w:val="00745398"/>
    <w:rsid w:val="00754870"/>
    <w:rsid w:val="007561F0"/>
    <w:rsid w:val="00756632"/>
    <w:rsid w:val="0075754A"/>
    <w:rsid w:val="00760554"/>
    <w:rsid w:val="0076083D"/>
    <w:rsid w:val="00761DC2"/>
    <w:rsid w:val="00762B1E"/>
    <w:rsid w:val="00764B94"/>
    <w:rsid w:val="00766434"/>
    <w:rsid w:val="00770E10"/>
    <w:rsid w:val="00771E5C"/>
    <w:rsid w:val="00772107"/>
    <w:rsid w:val="00773E30"/>
    <w:rsid w:val="00774A83"/>
    <w:rsid w:val="00775146"/>
    <w:rsid w:val="0077566D"/>
    <w:rsid w:val="00776097"/>
    <w:rsid w:val="007766A5"/>
    <w:rsid w:val="00776E39"/>
    <w:rsid w:val="0078016D"/>
    <w:rsid w:val="00781778"/>
    <w:rsid w:val="00782098"/>
    <w:rsid w:val="00786231"/>
    <w:rsid w:val="007900CB"/>
    <w:rsid w:val="007905B2"/>
    <w:rsid w:val="00790E9B"/>
    <w:rsid w:val="007917E7"/>
    <w:rsid w:val="007927C6"/>
    <w:rsid w:val="0079348E"/>
    <w:rsid w:val="00793EEB"/>
    <w:rsid w:val="0079405B"/>
    <w:rsid w:val="007A05F4"/>
    <w:rsid w:val="007A0BB9"/>
    <w:rsid w:val="007A1D73"/>
    <w:rsid w:val="007A4023"/>
    <w:rsid w:val="007A4F49"/>
    <w:rsid w:val="007A5445"/>
    <w:rsid w:val="007A55DA"/>
    <w:rsid w:val="007A5A94"/>
    <w:rsid w:val="007A5E11"/>
    <w:rsid w:val="007A6C47"/>
    <w:rsid w:val="007B31F7"/>
    <w:rsid w:val="007B347F"/>
    <w:rsid w:val="007B39F6"/>
    <w:rsid w:val="007B5A98"/>
    <w:rsid w:val="007B5E30"/>
    <w:rsid w:val="007C2270"/>
    <w:rsid w:val="007C27D4"/>
    <w:rsid w:val="007C4826"/>
    <w:rsid w:val="007C4CCE"/>
    <w:rsid w:val="007C570A"/>
    <w:rsid w:val="007C6EDB"/>
    <w:rsid w:val="007C7D49"/>
    <w:rsid w:val="007D0EEB"/>
    <w:rsid w:val="007D1D99"/>
    <w:rsid w:val="007D4D2A"/>
    <w:rsid w:val="007D763D"/>
    <w:rsid w:val="007E00B1"/>
    <w:rsid w:val="007E0749"/>
    <w:rsid w:val="007E2F87"/>
    <w:rsid w:val="007E334F"/>
    <w:rsid w:val="007E57B5"/>
    <w:rsid w:val="007E5D39"/>
    <w:rsid w:val="007E66C8"/>
    <w:rsid w:val="007E67BD"/>
    <w:rsid w:val="007E6BBD"/>
    <w:rsid w:val="007F06E1"/>
    <w:rsid w:val="007F0C09"/>
    <w:rsid w:val="007F3E75"/>
    <w:rsid w:val="007F517F"/>
    <w:rsid w:val="007F6391"/>
    <w:rsid w:val="007F6FB8"/>
    <w:rsid w:val="007F7481"/>
    <w:rsid w:val="007F76FF"/>
    <w:rsid w:val="00801491"/>
    <w:rsid w:val="008015A7"/>
    <w:rsid w:val="00802AEC"/>
    <w:rsid w:val="00803099"/>
    <w:rsid w:val="0080428A"/>
    <w:rsid w:val="0080562C"/>
    <w:rsid w:val="0080591D"/>
    <w:rsid w:val="0081066B"/>
    <w:rsid w:val="00810809"/>
    <w:rsid w:val="00810C6A"/>
    <w:rsid w:val="00812350"/>
    <w:rsid w:val="00812369"/>
    <w:rsid w:val="00812741"/>
    <w:rsid w:val="008128E3"/>
    <w:rsid w:val="00815871"/>
    <w:rsid w:val="00817E6C"/>
    <w:rsid w:val="00821789"/>
    <w:rsid w:val="0082180B"/>
    <w:rsid w:val="00825A23"/>
    <w:rsid w:val="00825D4F"/>
    <w:rsid w:val="00830017"/>
    <w:rsid w:val="00830787"/>
    <w:rsid w:val="00830DC9"/>
    <w:rsid w:val="00833A6A"/>
    <w:rsid w:val="00833E2F"/>
    <w:rsid w:val="008368F3"/>
    <w:rsid w:val="008400A8"/>
    <w:rsid w:val="0084156A"/>
    <w:rsid w:val="008427B1"/>
    <w:rsid w:val="008449FF"/>
    <w:rsid w:val="0084601D"/>
    <w:rsid w:val="00846C73"/>
    <w:rsid w:val="008500C3"/>
    <w:rsid w:val="0085161D"/>
    <w:rsid w:val="00855597"/>
    <w:rsid w:val="00855780"/>
    <w:rsid w:val="00856178"/>
    <w:rsid w:val="00856C69"/>
    <w:rsid w:val="00856E30"/>
    <w:rsid w:val="008570AB"/>
    <w:rsid w:val="00862545"/>
    <w:rsid w:val="00864C8C"/>
    <w:rsid w:val="00865A76"/>
    <w:rsid w:val="008663D7"/>
    <w:rsid w:val="0086730B"/>
    <w:rsid w:val="008679E6"/>
    <w:rsid w:val="00867A0F"/>
    <w:rsid w:val="00871811"/>
    <w:rsid w:val="00872E1F"/>
    <w:rsid w:val="00873942"/>
    <w:rsid w:val="00880558"/>
    <w:rsid w:val="0088094E"/>
    <w:rsid w:val="00885DA2"/>
    <w:rsid w:val="00885E17"/>
    <w:rsid w:val="00886342"/>
    <w:rsid w:val="00886585"/>
    <w:rsid w:val="008875DE"/>
    <w:rsid w:val="0089092F"/>
    <w:rsid w:val="00892F3E"/>
    <w:rsid w:val="00893594"/>
    <w:rsid w:val="00893A1F"/>
    <w:rsid w:val="008947EA"/>
    <w:rsid w:val="00894ABF"/>
    <w:rsid w:val="00896FF4"/>
    <w:rsid w:val="008A0E85"/>
    <w:rsid w:val="008A15CB"/>
    <w:rsid w:val="008A1DDE"/>
    <w:rsid w:val="008A371D"/>
    <w:rsid w:val="008A5071"/>
    <w:rsid w:val="008A5443"/>
    <w:rsid w:val="008A55A8"/>
    <w:rsid w:val="008A5F01"/>
    <w:rsid w:val="008A6B66"/>
    <w:rsid w:val="008A7078"/>
    <w:rsid w:val="008B0969"/>
    <w:rsid w:val="008B11D0"/>
    <w:rsid w:val="008B32B6"/>
    <w:rsid w:val="008B4464"/>
    <w:rsid w:val="008B4BF2"/>
    <w:rsid w:val="008B56E5"/>
    <w:rsid w:val="008B5AFD"/>
    <w:rsid w:val="008B6650"/>
    <w:rsid w:val="008B729C"/>
    <w:rsid w:val="008B7A4E"/>
    <w:rsid w:val="008C1506"/>
    <w:rsid w:val="008C2D30"/>
    <w:rsid w:val="008C33F2"/>
    <w:rsid w:val="008C6C92"/>
    <w:rsid w:val="008C77F7"/>
    <w:rsid w:val="008D0AE4"/>
    <w:rsid w:val="008D1B0D"/>
    <w:rsid w:val="008D2F52"/>
    <w:rsid w:val="008D3E19"/>
    <w:rsid w:val="008D57A4"/>
    <w:rsid w:val="008D5F06"/>
    <w:rsid w:val="008D6B57"/>
    <w:rsid w:val="008D74C3"/>
    <w:rsid w:val="008D7DFC"/>
    <w:rsid w:val="008E00FD"/>
    <w:rsid w:val="008E07C6"/>
    <w:rsid w:val="008E33EA"/>
    <w:rsid w:val="008E4180"/>
    <w:rsid w:val="008E5BB7"/>
    <w:rsid w:val="008E5F84"/>
    <w:rsid w:val="008E6A1B"/>
    <w:rsid w:val="008E6FF6"/>
    <w:rsid w:val="008E72E5"/>
    <w:rsid w:val="008E79F9"/>
    <w:rsid w:val="008E7DCC"/>
    <w:rsid w:val="008F0EA9"/>
    <w:rsid w:val="008F1B1E"/>
    <w:rsid w:val="008F2B7E"/>
    <w:rsid w:val="008F38F6"/>
    <w:rsid w:val="008F411D"/>
    <w:rsid w:val="008F4D31"/>
    <w:rsid w:val="008F53F5"/>
    <w:rsid w:val="008F5FF0"/>
    <w:rsid w:val="008F61F2"/>
    <w:rsid w:val="008F63BC"/>
    <w:rsid w:val="008F6485"/>
    <w:rsid w:val="008F710C"/>
    <w:rsid w:val="008F7B17"/>
    <w:rsid w:val="008F7F78"/>
    <w:rsid w:val="00900316"/>
    <w:rsid w:val="0090122A"/>
    <w:rsid w:val="009016EC"/>
    <w:rsid w:val="0090394F"/>
    <w:rsid w:val="009054D3"/>
    <w:rsid w:val="00905587"/>
    <w:rsid w:val="00907B9D"/>
    <w:rsid w:val="00910CFA"/>
    <w:rsid w:val="009125D2"/>
    <w:rsid w:val="00915E3F"/>
    <w:rsid w:val="00915F49"/>
    <w:rsid w:val="0092273F"/>
    <w:rsid w:val="009238F1"/>
    <w:rsid w:val="009242A2"/>
    <w:rsid w:val="009249B4"/>
    <w:rsid w:val="00926716"/>
    <w:rsid w:val="009270DB"/>
    <w:rsid w:val="009271BB"/>
    <w:rsid w:val="00931537"/>
    <w:rsid w:val="009323DF"/>
    <w:rsid w:val="00932AFC"/>
    <w:rsid w:val="0093491F"/>
    <w:rsid w:val="00934A65"/>
    <w:rsid w:val="00935E14"/>
    <w:rsid w:val="00942454"/>
    <w:rsid w:val="0094480E"/>
    <w:rsid w:val="00947B5B"/>
    <w:rsid w:val="00950281"/>
    <w:rsid w:val="00951BD3"/>
    <w:rsid w:val="00952B8F"/>
    <w:rsid w:val="009559F2"/>
    <w:rsid w:val="00957310"/>
    <w:rsid w:val="0095750D"/>
    <w:rsid w:val="00962B8F"/>
    <w:rsid w:val="009637E4"/>
    <w:rsid w:val="00964464"/>
    <w:rsid w:val="00965665"/>
    <w:rsid w:val="0096632E"/>
    <w:rsid w:val="00966D4F"/>
    <w:rsid w:val="0097102C"/>
    <w:rsid w:val="00971CBF"/>
    <w:rsid w:val="00971F52"/>
    <w:rsid w:val="0097202E"/>
    <w:rsid w:val="00972E0B"/>
    <w:rsid w:val="0097462D"/>
    <w:rsid w:val="009748F0"/>
    <w:rsid w:val="00974A7C"/>
    <w:rsid w:val="0097587B"/>
    <w:rsid w:val="009766FE"/>
    <w:rsid w:val="00977715"/>
    <w:rsid w:val="00980439"/>
    <w:rsid w:val="00982444"/>
    <w:rsid w:val="00982BA7"/>
    <w:rsid w:val="00982D92"/>
    <w:rsid w:val="00982F10"/>
    <w:rsid w:val="009834A0"/>
    <w:rsid w:val="009843A8"/>
    <w:rsid w:val="00984993"/>
    <w:rsid w:val="00993EA1"/>
    <w:rsid w:val="0099496C"/>
    <w:rsid w:val="00996569"/>
    <w:rsid w:val="009A057B"/>
    <w:rsid w:val="009A06F0"/>
    <w:rsid w:val="009A14DE"/>
    <w:rsid w:val="009A40DD"/>
    <w:rsid w:val="009A72B5"/>
    <w:rsid w:val="009A749F"/>
    <w:rsid w:val="009A7BC2"/>
    <w:rsid w:val="009B011E"/>
    <w:rsid w:val="009B1897"/>
    <w:rsid w:val="009B1BB7"/>
    <w:rsid w:val="009B48D4"/>
    <w:rsid w:val="009B751B"/>
    <w:rsid w:val="009C0992"/>
    <w:rsid w:val="009C0C48"/>
    <w:rsid w:val="009C1830"/>
    <w:rsid w:val="009C23DA"/>
    <w:rsid w:val="009C249B"/>
    <w:rsid w:val="009C24B3"/>
    <w:rsid w:val="009C2C09"/>
    <w:rsid w:val="009C2E5A"/>
    <w:rsid w:val="009C6214"/>
    <w:rsid w:val="009C672A"/>
    <w:rsid w:val="009C705A"/>
    <w:rsid w:val="009C7B18"/>
    <w:rsid w:val="009C7D55"/>
    <w:rsid w:val="009C7F52"/>
    <w:rsid w:val="009D07F2"/>
    <w:rsid w:val="009D1884"/>
    <w:rsid w:val="009D24A3"/>
    <w:rsid w:val="009D2FD6"/>
    <w:rsid w:val="009D3295"/>
    <w:rsid w:val="009D3665"/>
    <w:rsid w:val="009D3C84"/>
    <w:rsid w:val="009D40C6"/>
    <w:rsid w:val="009D6969"/>
    <w:rsid w:val="009D7470"/>
    <w:rsid w:val="009D7A58"/>
    <w:rsid w:val="009E0828"/>
    <w:rsid w:val="009E0CED"/>
    <w:rsid w:val="009E17A2"/>
    <w:rsid w:val="009E2D23"/>
    <w:rsid w:val="009E4043"/>
    <w:rsid w:val="009E43C1"/>
    <w:rsid w:val="009F3BA0"/>
    <w:rsid w:val="009F3F5D"/>
    <w:rsid w:val="009F43CB"/>
    <w:rsid w:val="009F4CB9"/>
    <w:rsid w:val="009F5F6A"/>
    <w:rsid w:val="00A01C02"/>
    <w:rsid w:val="00A02D24"/>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7672"/>
    <w:rsid w:val="00A20C5D"/>
    <w:rsid w:val="00A222CA"/>
    <w:rsid w:val="00A239CC"/>
    <w:rsid w:val="00A23BC2"/>
    <w:rsid w:val="00A24707"/>
    <w:rsid w:val="00A248C9"/>
    <w:rsid w:val="00A279AC"/>
    <w:rsid w:val="00A30C5D"/>
    <w:rsid w:val="00A310F1"/>
    <w:rsid w:val="00A31C68"/>
    <w:rsid w:val="00A326A6"/>
    <w:rsid w:val="00A35FAA"/>
    <w:rsid w:val="00A40163"/>
    <w:rsid w:val="00A409BC"/>
    <w:rsid w:val="00A41673"/>
    <w:rsid w:val="00A42BEC"/>
    <w:rsid w:val="00A42F6D"/>
    <w:rsid w:val="00A44612"/>
    <w:rsid w:val="00A44720"/>
    <w:rsid w:val="00A46164"/>
    <w:rsid w:val="00A51337"/>
    <w:rsid w:val="00A540A5"/>
    <w:rsid w:val="00A54248"/>
    <w:rsid w:val="00A55B6F"/>
    <w:rsid w:val="00A607FF"/>
    <w:rsid w:val="00A616B8"/>
    <w:rsid w:val="00A61BD0"/>
    <w:rsid w:val="00A6388E"/>
    <w:rsid w:val="00A64FD7"/>
    <w:rsid w:val="00A67CF5"/>
    <w:rsid w:val="00A70398"/>
    <w:rsid w:val="00A704CB"/>
    <w:rsid w:val="00A709AD"/>
    <w:rsid w:val="00A72DA9"/>
    <w:rsid w:val="00A733CB"/>
    <w:rsid w:val="00A739DF"/>
    <w:rsid w:val="00A740A0"/>
    <w:rsid w:val="00A751AD"/>
    <w:rsid w:val="00A75E78"/>
    <w:rsid w:val="00A773CD"/>
    <w:rsid w:val="00A775CF"/>
    <w:rsid w:val="00A77853"/>
    <w:rsid w:val="00A77FAF"/>
    <w:rsid w:val="00A805EB"/>
    <w:rsid w:val="00A80C87"/>
    <w:rsid w:val="00A84503"/>
    <w:rsid w:val="00A84EE0"/>
    <w:rsid w:val="00A867DA"/>
    <w:rsid w:val="00A86D89"/>
    <w:rsid w:val="00A8782F"/>
    <w:rsid w:val="00A90840"/>
    <w:rsid w:val="00A9167D"/>
    <w:rsid w:val="00A92D25"/>
    <w:rsid w:val="00A94689"/>
    <w:rsid w:val="00A94DDB"/>
    <w:rsid w:val="00A965CD"/>
    <w:rsid w:val="00AA27AA"/>
    <w:rsid w:val="00AA2DF3"/>
    <w:rsid w:val="00AA4761"/>
    <w:rsid w:val="00AA50BC"/>
    <w:rsid w:val="00AA6AE4"/>
    <w:rsid w:val="00AB24E7"/>
    <w:rsid w:val="00AB3237"/>
    <w:rsid w:val="00AB3917"/>
    <w:rsid w:val="00AB3A2D"/>
    <w:rsid w:val="00AB5E21"/>
    <w:rsid w:val="00AB75AE"/>
    <w:rsid w:val="00AB76EC"/>
    <w:rsid w:val="00AB7933"/>
    <w:rsid w:val="00AC13C9"/>
    <w:rsid w:val="00AC3A08"/>
    <w:rsid w:val="00AC3D18"/>
    <w:rsid w:val="00AC6332"/>
    <w:rsid w:val="00AD10CF"/>
    <w:rsid w:val="00AD2FC0"/>
    <w:rsid w:val="00AD35EA"/>
    <w:rsid w:val="00AD3BC7"/>
    <w:rsid w:val="00AD4967"/>
    <w:rsid w:val="00AD562E"/>
    <w:rsid w:val="00AD5B1B"/>
    <w:rsid w:val="00AD66BE"/>
    <w:rsid w:val="00AD6DB9"/>
    <w:rsid w:val="00AE2459"/>
    <w:rsid w:val="00AE29C2"/>
    <w:rsid w:val="00AE3D23"/>
    <w:rsid w:val="00AE4E89"/>
    <w:rsid w:val="00AE4EC8"/>
    <w:rsid w:val="00AE517C"/>
    <w:rsid w:val="00AE599E"/>
    <w:rsid w:val="00AE5D9F"/>
    <w:rsid w:val="00AE5F15"/>
    <w:rsid w:val="00AE61C0"/>
    <w:rsid w:val="00AE76C9"/>
    <w:rsid w:val="00AF0301"/>
    <w:rsid w:val="00AF06B4"/>
    <w:rsid w:val="00AF0C7E"/>
    <w:rsid w:val="00AF0EB2"/>
    <w:rsid w:val="00AF2791"/>
    <w:rsid w:val="00AF326B"/>
    <w:rsid w:val="00AF32F0"/>
    <w:rsid w:val="00AF3811"/>
    <w:rsid w:val="00AF418D"/>
    <w:rsid w:val="00AF560E"/>
    <w:rsid w:val="00AF6220"/>
    <w:rsid w:val="00AF70EE"/>
    <w:rsid w:val="00AF7618"/>
    <w:rsid w:val="00B00B01"/>
    <w:rsid w:val="00B04550"/>
    <w:rsid w:val="00B04964"/>
    <w:rsid w:val="00B04CBD"/>
    <w:rsid w:val="00B05C97"/>
    <w:rsid w:val="00B10605"/>
    <w:rsid w:val="00B10F95"/>
    <w:rsid w:val="00B11B0A"/>
    <w:rsid w:val="00B12331"/>
    <w:rsid w:val="00B15B71"/>
    <w:rsid w:val="00B21941"/>
    <w:rsid w:val="00B21EB4"/>
    <w:rsid w:val="00B25411"/>
    <w:rsid w:val="00B2691D"/>
    <w:rsid w:val="00B26C44"/>
    <w:rsid w:val="00B27732"/>
    <w:rsid w:val="00B27820"/>
    <w:rsid w:val="00B30944"/>
    <w:rsid w:val="00B3104B"/>
    <w:rsid w:val="00B32409"/>
    <w:rsid w:val="00B33F4D"/>
    <w:rsid w:val="00B36CFC"/>
    <w:rsid w:val="00B37148"/>
    <w:rsid w:val="00B37AFC"/>
    <w:rsid w:val="00B42B56"/>
    <w:rsid w:val="00B4525D"/>
    <w:rsid w:val="00B460B5"/>
    <w:rsid w:val="00B47F4C"/>
    <w:rsid w:val="00B51526"/>
    <w:rsid w:val="00B55CBE"/>
    <w:rsid w:val="00B567D8"/>
    <w:rsid w:val="00B60F6F"/>
    <w:rsid w:val="00B6147F"/>
    <w:rsid w:val="00B61A52"/>
    <w:rsid w:val="00B6230B"/>
    <w:rsid w:val="00B63C3C"/>
    <w:rsid w:val="00B64DE4"/>
    <w:rsid w:val="00B676B8"/>
    <w:rsid w:val="00B70250"/>
    <w:rsid w:val="00B702B3"/>
    <w:rsid w:val="00B70C9E"/>
    <w:rsid w:val="00B71222"/>
    <w:rsid w:val="00B7358B"/>
    <w:rsid w:val="00B7388C"/>
    <w:rsid w:val="00B73E0D"/>
    <w:rsid w:val="00B811DE"/>
    <w:rsid w:val="00B830A1"/>
    <w:rsid w:val="00B83705"/>
    <w:rsid w:val="00B83CA0"/>
    <w:rsid w:val="00B84243"/>
    <w:rsid w:val="00B85C34"/>
    <w:rsid w:val="00B86CCD"/>
    <w:rsid w:val="00B876C0"/>
    <w:rsid w:val="00B93884"/>
    <w:rsid w:val="00B94405"/>
    <w:rsid w:val="00B94A65"/>
    <w:rsid w:val="00B94ADF"/>
    <w:rsid w:val="00B94FB4"/>
    <w:rsid w:val="00B95D2D"/>
    <w:rsid w:val="00B9676C"/>
    <w:rsid w:val="00BA0966"/>
    <w:rsid w:val="00BA0F2F"/>
    <w:rsid w:val="00BA379F"/>
    <w:rsid w:val="00BA6777"/>
    <w:rsid w:val="00BB2A98"/>
    <w:rsid w:val="00BB3AB5"/>
    <w:rsid w:val="00BB3DA8"/>
    <w:rsid w:val="00BB498B"/>
    <w:rsid w:val="00BB6D23"/>
    <w:rsid w:val="00BB721D"/>
    <w:rsid w:val="00BB7455"/>
    <w:rsid w:val="00BC0E44"/>
    <w:rsid w:val="00BC0E7A"/>
    <w:rsid w:val="00BC2C65"/>
    <w:rsid w:val="00BC3CAB"/>
    <w:rsid w:val="00BC42CE"/>
    <w:rsid w:val="00BC6702"/>
    <w:rsid w:val="00BD210E"/>
    <w:rsid w:val="00BD4954"/>
    <w:rsid w:val="00BE1ECF"/>
    <w:rsid w:val="00BE537C"/>
    <w:rsid w:val="00BE6D85"/>
    <w:rsid w:val="00BE70B3"/>
    <w:rsid w:val="00BE7D58"/>
    <w:rsid w:val="00BF0270"/>
    <w:rsid w:val="00BF0E14"/>
    <w:rsid w:val="00BF164E"/>
    <w:rsid w:val="00BF1A33"/>
    <w:rsid w:val="00BF23C3"/>
    <w:rsid w:val="00BF3D35"/>
    <w:rsid w:val="00BF6D42"/>
    <w:rsid w:val="00BF7ED9"/>
    <w:rsid w:val="00C00AA5"/>
    <w:rsid w:val="00C02450"/>
    <w:rsid w:val="00C056E4"/>
    <w:rsid w:val="00C07DEC"/>
    <w:rsid w:val="00C1005F"/>
    <w:rsid w:val="00C107D2"/>
    <w:rsid w:val="00C11F05"/>
    <w:rsid w:val="00C11F2F"/>
    <w:rsid w:val="00C12D0A"/>
    <w:rsid w:val="00C13DA0"/>
    <w:rsid w:val="00C15DEF"/>
    <w:rsid w:val="00C20E76"/>
    <w:rsid w:val="00C21E58"/>
    <w:rsid w:val="00C23647"/>
    <w:rsid w:val="00C2476F"/>
    <w:rsid w:val="00C2641F"/>
    <w:rsid w:val="00C276B1"/>
    <w:rsid w:val="00C3009E"/>
    <w:rsid w:val="00C31E81"/>
    <w:rsid w:val="00C3239B"/>
    <w:rsid w:val="00C3249E"/>
    <w:rsid w:val="00C32F9C"/>
    <w:rsid w:val="00C3303C"/>
    <w:rsid w:val="00C3324A"/>
    <w:rsid w:val="00C342CD"/>
    <w:rsid w:val="00C34390"/>
    <w:rsid w:val="00C34C59"/>
    <w:rsid w:val="00C359BA"/>
    <w:rsid w:val="00C36775"/>
    <w:rsid w:val="00C40689"/>
    <w:rsid w:val="00C41D55"/>
    <w:rsid w:val="00C4287F"/>
    <w:rsid w:val="00C428E6"/>
    <w:rsid w:val="00C42D37"/>
    <w:rsid w:val="00C431A3"/>
    <w:rsid w:val="00C44BE3"/>
    <w:rsid w:val="00C44C1D"/>
    <w:rsid w:val="00C45011"/>
    <w:rsid w:val="00C450A9"/>
    <w:rsid w:val="00C45903"/>
    <w:rsid w:val="00C46D0E"/>
    <w:rsid w:val="00C53EF2"/>
    <w:rsid w:val="00C55846"/>
    <w:rsid w:val="00C6305B"/>
    <w:rsid w:val="00C63109"/>
    <w:rsid w:val="00C63C1F"/>
    <w:rsid w:val="00C63ED7"/>
    <w:rsid w:val="00C7356F"/>
    <w:rsid w:val="00C74126"/>
    <w:rsid w:val="00C74C39"/>
    <w:rsid w:val="00C74DA9"/>
    <w:rsid w:val="00C753BA"/>
    <w:rsid w:val="00C7638D"/>
    <w:rsid w:val="00C763EA"/>
    <w:rsid w:val="00C77417"/>
    <w:rsid w:val="00C8049D"/>
    <w:rsid w:val="00C854F5"/>
    <w:rsid w:val="00C85E77"/>
    <w:rsid w:val="00C8748F"/>
    <w:rsid w:val="00C87FB8"/>
    <w:rsid w:val="00C91CF4"/>
    <w:rsid w:val="00C92123"/>
    <w:rsid w:val="00C95596"/>
    <w:rsid w:val="00C95850"/>
    <w:rsid w:val="00C95B85"/>
    <w:rsid w:val="00C97F24"/>
    <w:rsid w:val="00CA0B5E"/>
    <w:rsid w:val="00CA0F4F"/>
    <w:rsid w:val="00CA15D7"/>
    <w:rsid w:val="00CA2F21"/>
    <w:rsid w:val="00CA3214"/>
    <w:rsid w:val="00CA450E"/>
    <w:rsid w:val="00CA475B"/>
    <w:rsid w:val="00CA4819"/>
    <w:rsid w:val="00CA49A3"/>
    <w:rsid w:val="00CA600B"/>
    <w:rsid w:val="00CA709C"/>
    <w:rsid w:val="00CB1F59"/>
    <w:rsid w:val="00CB4589"/>
    <w:rsid w:val="00CB54F0"/>
    <w:rsid w:val="00CB62C0"/>
    <w:rsid w:val="00CB6D24"/>
    <w:rsid w:val="00CB795F"/>
    <w:rsid w:val="00CC0486"/>
    <w:rsid w:val="00CC0B67"/>
    <w:rsid w:val="00CC4867"/>
    <w:rsid w:val="00CC5AB0"/>
    <w:rsid w:val="00CC6AFF"/>
    <w:rsid w:val="00CC7ED8"/>
    <w:rsid w:val="00CC7F08"/>
    <w:rsid w:val="00CD03D7"/>
    <w:rsid w:val="00CD1BF3"/>
    <w:rsid w:val="00CD3382"/>
    <w:rsid w:val="00CE0085"/>
    <w:rsid w:val="00CE0472"/>
    <w:rsid w:val="00CE2B6C"/>
    <w:rsid w:val="00CE2C1A"/>
    <w:rsid w:val="00CE3F53"/>
    <w:rsid w:val="00CE4134"/>
    <w:rsid w:val="00CE558E"/>
    <w:rsid w:val="00CE5774"/>
    <w:rsid w:val="00CE7933"/>
    <w:rsid w:val="00CF164C"/>
    <w:rsid w:val="00CF2C6F"/>
    <w:rsid w:val="00CF4131"/>
    <w:rsid w:val="00CF5085"/>
    <w:rsid w:val="00CF5FDC"/>
    <w:rsid w:val="00CF7CE1"/>
    <w:rsid w:val="00D00382"/>
    <w:rsid w:val="00D0086A"/>
    <w:rsid w:val="00D00D72"/>
    <w:rsid w:val="00D02EF1"/>
    <w:rsid w:val="00D05719"/>
    <w:rsid w:val="00D07A8D"/>
    <w:rsid w:val="00D1024D"/>
    <w:rsid w:val="00D120BF"/>
    <w:rsid w:val="00D143EC"/>
    <w:rsid w:val="00D1469B"/>
    <w:rsid w:val="00D1741D"/>
    <w:rsid w:val="00D174C3"/>
    <w:rsid w:val="00D17D15"/>
    <w:rsid w:val="00D17E55"/>
    <w:rsid w:val="00D2179B"/>
    <w:rsid w:val="00D22699"/>
    <w:rsid w:val="00D2316C"/>
    <w:rsid w:val="00D23531"/>
    <w:rsid w:val="00D24FF4"/>
    <w:rsid w:val="00D30A84"/>
    <w:rsid w:val="00D30CBA"/>
    <w:rsid w:val="00D323B5"/>
    <w:rsid w:val="00D327B7"/>
    <w:rsid w:val="00D36333"/>
    <w:rsid w:val="00D37C36"/>
    <w:rsid w:val="00D4187B"/>
    <w:rsid w:val="00D428B3"/>
    <w:rsid w:val="00D43E58"/>
    <w:rsid w:val="00D44832"/>
    <w:rsid w:val="00D44D21"/>
    <w:rsid w:val="00D456C4"/>
    <w:rsid w:val="00D459CF"/>
    <w:rsid w:val="00D45BEA"/>
    <w:rsid w:val="00D46423"/>
    <w:rsid w:val="00D46A7B"/>
    <w:rsid w:val="00D50C9B"/>
    <w:rsid w:val="00D549BF"/>
    <w:rsid w:val="00D551E1"/>
    <w:rsid w:val="00D55763"/>
    <w:rsid w:val="00D5708A"/>
    <w:rsid w:val="00D576B5"/>
    <w:rsid w:val="00D57849"/>
    <w:rsid w:val="00D579C5"/>
    <w:rsid w:val="00D60439"/>
    <w:rsid w:val="00D6199A"/>
    <w:rsid w:val="00D62AB4"/>
    <w:rsid w:val="00D634BA"/>
    <w:rsid w:val="00D66144"/>
    <w:rsid w:val="00D6661E"/>
    <w:rsid w:val="00D6714F"/>
    <w:rsid w:val="00D70BF5"/>
    <w:rsid w:val="00D70EB2"/>
    <w:rsid w:val="00D715EF"/>
    <w:rsid w:val="00D720BB"/>
    <w:rsid w:val="00D75924"/>
    <w:rsid w:val="00D75DD0"/>
    <w:rsid w:val="00D7602E"/>
    <w:rsid w:val="00D76996"/>
    <w:rsid w:val="00D81071"/>
    <w:rsid w:val="00D82879"/>
    <w:rsid w:val="00D83B82"/>
    <w:rsid w:val="00D85D3F"/>
    <w:rsid w:val="00D87479"/>
    <w:rsid w:val="00D9150D"/>
    <w:rsid w:val="00D92B42"/>
    <w:rsid w:val="00D9399A"/>
    <w:rsid w:val="00D961F2"/>
    <w:rsid w:val="00D97687"/>
    <w:rsid w:val="00D9775E"/>
    <w:rsid w:val="00DA1610"/>
    <w:rsid w:val="00DA1A11"/>
    <w:rsid w:val="00DA1BEF"/>
    <w:rsid w:val="00DA28A8"/>
    <w:rsid w:val="00DA3143"/>
    <w:rsid w:val="00DA38EA"/>
    <w:rsid w:val="00DA4EAE"/>
    <w:rsid w:val="00DA6854"/>
    <w:rsid w:val="00DA6D4F"/>
    <w:rsid w:val="00DA6FB4"/>
    <w:rsid w:val="00DA7AC3"/>
    <w:rsid w:val="00DB10A8"/>
    <w:rsid w:val="00DB4C98"/>
    <w:rsid w:val="00DB584E"/>
    <w:rsid w:val="00DB69D9"/>
    <w:rsid w:val="00DC16AF"/>
    <w:rsid w:val="00DC32EC"/>
    <w:rsid w:val="00DC4099"/>
    <w:rsid w:val="00DC4790"/>
    <w:rsid w:val="00DC5221"/>
    <w:rsid w:val="00DC6737"/>
    <w:rsid w:val="00DD051E"/>
    <w:rsid w:val="00DD0BA0"/>
    <w:rsid w:val="00DD7B40"/>
    <w:rsid w:val="00DE117E"/>
    <w:rsid w:val="00DE1987"/>
    <w:rsid w:val="00DE1EF9"/>
    <w:rsid w:val="00DE2A71"/>
    <w:rsid w:val="00DE36CF"/>
    <w:rsid w:val="00DE42BA"/>
    <w:rsid w:val="00DE50C2"/>
    <w:rsid w:val="00DE566F"/>
    <w:rsid w:val="00DE5DF9"/>
    <w:rsid w:val="00DE5E0C"/>
    <w:rsid w:val="00DE79DE"/>
    <w:rsid w:val="00DF0728"/>
    <w:rsid w:val="00DF1ADC"/>
    <w:rsid w:val="00DF2249"/>
    <w:rsid w:val="00DF2347"/>
    <w:rsid w:val="00DF2C5D"/>
    <w:rsid w:val="00DF30D5"/>
    <w:rsid w:val="00DF363A"/>
    <w:rsid w:val="00DF4173"/>
    <w:rsid w:val="00DF61C8"/>
    <w:rsid w:val="00DF6323"/>
    <w:rsid w:val="00DF6B26"/>
    <w:rsid w:val="00DF744E"/>
    <w:rsid w:val="00E00258"/>
    <w:rsid w:val="00E0068F"/>
    <w:rsid w:val="00E01B7C"/>
    <w:rsid w:val="00E054BA"/>
    <w:rsid w:val="00E05967"/>
    <w:rsid w:val="00E06F9F"/>
    <w:rsid w:val="00E1099E"/>
    <w:rsid w:val="00E10D3F"/>
    <w:rsid w:val="00E1129E"/>
    <w:rsid w:val="00E121DD"/>
    <w:rsid w:val="00E15A7E"/>
    <w:rsid w:val="00E1675C"/>
    <w:rsid w:val="00E16977"/>
    <w:rsid w:val="00E16BE1"/>
    <w:rsid w:val="00E17DAB"/>
    <w:rsid w:val="00E20628"/>
    <w:rsid w:val="00E2103B"/>
    <w:rsid w:val="00E22A07"/>
    <w:rsid w:val="00E253F7"/>
    <w:rsid w:val="00E26003"/>
    <w:rsid w:val="00E273FF"/>
    <w:rsid w:val="00E27B91"/>
    <w:rsid w:val="00E30E1D"/>
    <w:rsid w:val="00E30FE2"/>
    <w:rsid w:val="00E335C8"/>
    <w:rsid w:val="00E37BA9"/>
    <w:rsid w:val="00E37F9B"/>
    <w:rsid w:val="00E42411"/>
    <w:rsid w:val="00E42C8A"/>
    <w:rsid w:val="00E436F2"/>
    <w:rsid w:val="00E43965"/>
    <w:rsid w:val="00E43E3B"/>
    <w:rsid w:val="00E4452C"/>
    <w:rsid w:val="00E4582E"/>
    <w:rsid w:val="00E46611"/>
    <w:rsid w:val="00E46AB8"/>
    <w:rsid w:val="00E473B3"/>
    <w:rsid w:val="00E501C3"/>
    <w:rsid w:val="00E51F1C"/>
    <w:rsid w:val="00E53F1A"/>
    <w:rsid w:val="00E54185"/>
    <w:rsid w:val="00E55ABA"/>
    <w:rsid w:val="00E57CA7"/>
    <w:rsid w:val="00E61EC0"/>
    <w:rsid w:val="00E62415"/>
    <w:rsid w:val="00E62B36"/>
    <w:rsid w:val="00E62DF5"/>
    <w:rsid w:val="00E647C8"/>
    <w:rsid w:val="00E6681B"/>
    <w:rsid w:val="00E67522"/>
    <w:rsid w:val="00E67C82"/>
    <w:rsid w:val="00E702CE"/>
    <w:rsid w:val="00E70F0A"/>
    <w:rsid w:val="00E71844"/>
    <w:rsid w:val="00E731D7"/>
    <w:rsid w:val="00E7371B"/>
    <w:rsid w:val="00E73765"/>
    <w:rsid w:val="00E74ACE"/>
    <w:rsid w:val="00E75641"/>
    <w:rsid w:val="00E77595"/>
    <w:rsid w:val="00E77C06"/>
    <w:rsid w:val="00E80CF9"/>
    <w:rsid w:val="00E831F7"/>
    <w:rsid w:val="00E835D7"/>
    <w:rsid w:val="00E855E0"/>
    <w:rsid w:val="00E860B7"/>
    <w:rsid w:val="00E8780D"/>
    <w:rsid w:val="00E9221F"/>
    <w:rsid w:val="00E94347"/>
    <w:rsid w:val="00E95DB8"/>
    <w:rsid w:val="00E95E3B"/>
    <w:rsid w:val="00E97527"/>
    <w:rsid w:val="00EA186C"/>
    <w:rsid w:val="00EA5A9E"/>
    <w:rsid w:val="00EA6556"/>
    <w:rsid w:val="00EA6842"/>
    <w:rsid w:val="00EA6A44"/>
    <w:rsid w:val="00EB1B80"/>
    <w:rsid w:val="00EB4C26"/>
    <w:rsid w:val="00EB5127"/>
    <w:rsid w:val="00EB53F2"/>
    <w:rsid w:val="00EB7803"/>
    <w:rsid w:val="00EC0295"/>
    <w:rsid w:val="00EC0454"/>
    <w:rsid w:val="00EC19FA"/>
    <w:rsid w:val="00EC2948"/>
    <w:rsid w:val="00EC5F86"/>
    <w:rsid w:val="00ED0940"/>
    <w:rsid w:val="00ED25CE"/>
    <w:rsid w:val="00ED3A55"/>
    <w:rsid w:val="00ED402C"/>
    <w:rsid w:val="00ED511B"/>
    <w:rsid w:val="00EE0ACF"/>
    <w:rsid w:val="00EE22E3"/>
    <w:rsid w:val="00EE2ED0"/>
    <w:rsid w:val="00EE37DE"/>
    <w:rsid w:val="00EE67C5"/>
    <w:rsid w:val="00EF18EF"/>
    <w:rsid w:val="00EF4031"/>
    <w:rsid w:val="00EF695C"/>
    <w:rsid w:val="00F01FF7"/>
    <w:rsid w:val="00F05908"/>
    <w:rsid w:val="00F10305"/>
    <w:rsid w:val="00F1076B"/>
    <w:rsid w:val="00F10D71"/>
    <w:rsid w:val="00F11B9B"/>
    <w:rsid w:val="00F11D20"/>
    <w:rsid w:val="00F120D0"/>
    <w:rsid w:val="00F13E0D"/>
    <w:rsid w:val="00F15DFF"/>
    <w:rsid w:val="00F20B6E"/>
    <w:rsid w:val="00F20FF5"/>
    <w:rsid w:val="00F220D3"/>
    <w:rsid w:val="00F248EC"/>
    <w:rsid w:val="00F24BCF"/>
    <w:rsid w:val="00F24C64"/>
    <w:rsid w:val="00F2639B"/>
    <w:rsid w:val="00F271CB"/>
    <w:rsid w:val="00F276EE"/>
    <w:rsid w:val="00F3255F"/>
    <w:rsid w:val="00F326D9"/>
    <w:rsid w:val="00F33271"/>
    <w:rsid w:val="00F3510E"/>
    <w:rsid w:val="00F35B8D"/>
    <w:rsid w:val="00F373DC"/>
    <w:rsid w:val="00F37EF3"/>
    <w:rsid w:val="00F403D6"/>
    <w:rsid w:val="00F40782"/>
    <w:rsid w:val="00F422EF"/>
    <w:rsid w:val="00F42894"/>
    <w:rsid w:val="00F43E26"/>
    <w:rsid w:val="00F45CF2"/>
    <w:rsid w:val="00F470EA"/>
    <w:rsid w:val="00F47B25"/>
    <w:rsid w:val="00F506AE"/>
    <w:rsid w:val="00F51346"/>
    <w:rsid w:val="00F5235B"/>
    <w:rsid w:val="00F5254A"/>
    <w:rsid w:val="00F54947"/>
    <w:rsid w:val="00F54F7B"/>
    <w:rsid w:val="00F55CD7"/>
    <w:rsid w:val="00F560DC"/>
    <w:rsid w:val="00F56916"/>
    <w:rsid w:val="00F56AD0"/>
    <w:rsid w:val="00F56CB1"/>
    <w:rsid w:val="00F626C2"/>
    <w:rsid w:val="00F63F85"/>
    <w:rsid w:val="00F65819"/>
    <w:rsid w:val="00F67A6B"/>
    <w:rsid w:val="00F71634"/>
    <w:rsid w:val="00F721B7"/>
    <w:rsid w:val="00F7244F"/>
    <w:rsid w:val="00F72D23"/>
    <w:rsid w:val="00F743D8"/>
    <w:rsid w:val="00F74CB0"/>
    <w:rsid w:val="00F75495"/>
    <w:rsid w:val="00F7639C"/>
    <w:rsid w:val="00F765EB"/>
    <w:rsid w:val="00F76602"/>
    <w:rsid w:val="00F773A0"/>
    <w:rsid w:val="00F80A32"/>
    <w:rsid w:val="00F81CE4"/>
    <w:rsid w:val="00F8247B"/>
    <w:rsid w:val="00F8673B"/>
    <w:rsid w:val="00F908F8"/>
    <w:rsid w:val="00F92442"/>
    <w:rsid w:val="00F926C8"/>
    <w:rsid w:val="00F93849"/>
    <w:rsid w:val="00F97D2D"/>
    <w:rsid w:val="00FA05A4"/>
    <w:rsid w:val="00FA2F87"/>
    <w:rsid w:val="00FA30C2"/>
    <w:rsid w:val="00FA63B6"/>
    <w:rsid w:val="00FA6958"/>
    <w:rsid w:val="00FA7135"/>
    <w:rsid w:val="00FA784C"/>
    <w:rsid w:val="00FB06E1"/>
    <w:rsid w:val="00FB0CA2"/>
    <w:rsid w:val="00FB1A25"/>
    <w:rsid w:val="00FB6912"/>
    <w:rsid w:val="00FC00DD"/>
    <w:rsid w:val="00FC0A72"/>
    <w:rsid w:val="00FC1247"/>
    <w:rsid w:val="00FC14D9"/>
    <w:rsid w:val="00FC1C66"/>
    <w:rsid w:val="00FC27D4"/>
    <w:rsid w:val="00FC3CD4"/>
    <w:rsid w:val="00FC4E2A"/>
    <w:rsid w:val="00FC4ECD"/>
    <w:rsid w:val="00FC6F4F"/>
    <w:rsid w:val="00FD0227"/>
    <w:rsid w:val="00FD1B30"/>
    <w:rsid w:val="00FD225C"/>
    <w:rsid w:val="00FD3D3E"/>
    <w:rsid w:val="00FD4975"/>
    <w:rsid w:val="00FD5051"/>
    <w:rsid w:val="00FD5958"/>
    <w:rsid w:val="00FD5A0F"/>
    <w:rsid w:val="00FD756D"/>
    <w:rsid w:val="00FD7972"/>
    <w:rsid w:val="00FE059A"/>
    <w:rsid w:val="00FE0781"/>
    <w:rsid w:val="00FE29AF"/>
    <w:rsid w:val="00FE395C"/>
    <w:rsid w:val="00FE54AE"/>
    <w:rsid w:val="00FF1E56"/>
    <w:rsid w:val="00FF2122"/>
    <w:rsid w:val="00FF2339"/>
    <w:rsid w:val="00FF2430"/>
    <w:rsid w:val="00FF26B9"/>
    <w:rsid w:val="00FF33AA"/>
    <w:rsid w:val="00FF371D"/>
    <w:rsid w:val="00FF4B33"/>
    <w:rsid w:val="00FF5FA4"/>
    <w:rsid w:val="00FF637D"/>
    <w:rsid w:val="00FF64CF"/>
    <w:rsid w:val="00FF6B5D"/>
    <w:rsid w:val="00FF6D05"/>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semiHidden="1"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707"/>
    <w:pPr>
      <w:spacing w:after="240"/>
      <w:jc w:val="both"/>
    </w:pPr>
    <w:rPr>
      <w:rFonts w:ascii="Book Antiqua" w:hAnsi="Book Antiqua"/>
    </w:rPr>
  </w:style>
  <w:style w:type="paragraph" w:styleId="Heading1">
    <w:name w:val="heading 1"/>
    <w:basedOn w:val="HeadingBase"/>
    <w:next w:val="Normal"/>
    <w:qFormat/>
    <w:rsid w:val="00EC5F86"/>
    <w:pPr>
      <w:spacing w:after="240"/>
      <w:jc w:val="center"/>
      <w:outlineLvl w:val="0"/>
    </w:pPr>
    <w:rPr>
      <w:b/>
      <w:smallCaps/>
      <w:kern w:val="28"/>
      <w:sz w:val="34"/>
    </w:rPr>
  </w:style>
  <w:style w:type="paragraph" w:styleId="Heading2">
    <w:name w:val="heading 2"/>
    <w:basedOn w:val="HeadingBase"/>
    <w:next w:val="Normal"/>
    <w:qFormat/>
    <w:rsid w:val="00EC5F86"/>
    <w:pPr>
      <w:spacing w:before="360" w:after="36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146B5E"/>
    <w:pPr>
      <w:spacing w:before="120"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pPr>
  </w:style>
  <w:style w:type="paragraph" w:customStyle="1" w:styleId="TableGraphic">
    <w:name w:val="Table Graphic"/>
    <w:basedOn w:val="Normal"/>
    <w:next w:val="Normal"/>
    <w:rsid w:val="00EC5F86"/>
    <w:pPr>
      <w:spacing w:after="0"/>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pPr>
    <w:rPr>
      <w:rFonts w:ascii="Arial" w:hAnsi="Arial"/>
      <w:sz w:val="16"/>
    </w:rPr>
  </w:style>
  <w:style w:type="paragraph" w:customStyle="1" w:styleId="TableTextBase">
    <w:name w:val="Table Text Base"/>
    <w:basedOn w:val="Normal"/>
    <w:link w:val="TableTextBaseChar"/>
    <w:rsid w:val="00EC5F86"/>
    <w:pPr>
      <w:spacing w:before="60" w:after="60"/>
      <w:jc w:val="left"/>
    </w:pPr>
    <w:rPr>
      <w:rFonts w:ascii="Arial" w:hAnsi="Arial"/>
      <w:sz w:val="18"/>
    </w:rPr>
  </w:style>
  <w:style w:type="paragraph" w:customStyle="1" w:styleId="TableColumnHeadingBase">
    <w:name w:val="Table Column Heading Base"/>
    <w:basedOn w:val="Normal"/>
    <w:rsid w:val="00EC5F86"/>
    <w:pPr>
      <w:spacing w:before="60" w:after="60"/>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4B0B19"/>
    <w:pPr>
      <w:spacing w:after="0"/>
      <w:jc w:val="center"/>
      <w:outlineLvl w:val="0"/>
    </w:pPr>
    <w:rPr>
      <w:rFonts w:ascii="Arial" w:hAnsi="Arial" w:cs="Arial"/>
      <w:b/>
      <w:bCs/>
      <w: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EC5F86"/>
    <w:pPr>
      <w:tabs>
        <w:tab w:val="right" w:leader="dot" w:pos="7700"/>
      </w:tabs>
      <w:spacing w:before="240"/>
      <w:ind w:right="851"/>
    </w:pPr>
    <w:rPr>
      <w:rFonts w:ascii="Arial" w:hAnsi="Arial"/>
      <w:b/>
      <w:i w:val="0"/>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val="0"/>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A02D24"/>
    <w:rPr>
      <w:rFonts w:ascii="Book Antiqua" w:hAnsi="Book Antiqua"/>
      <w:i/>
      <w:color w:val="FF0000"/>
    </w:rPr>
  </w:style>
  <w:style w:type="paragraph" w:customStyle="1" w:styleId="Crest">
    <w:name w:val="Crest"/>
    <w:basedOn w:val="Normal"/>
    <w:next w:val="TransmittalStyle1"/>
    <w:semiHidden/>
    <w:rsid w:val="00021DA6"/>
    <w:pPr>
      <w:spacing w:after="0"/>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jc w:val="left"/>
    </w:pPr>
    <w:rPr>
      <w:b/>
      <w:sz w:val="22"/>
    </w:rPr>
  </w:style>
  <w:style w:type="paragraph" w:customStyle="1" w:styleId="TableColumnOutgroupSubheading">
    <w:name w:val="Table Column Outgroup Subheading"/>
    <w:basedOn w:val="Normal"/>
    <w:rsid w:val="00EC5F86"/>
    <w:pPr>
      <w:spacing w:before="60" w:after="120"/>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146B5E"/>
    <w:rPr>
      <w:rFonts w:ascii="Arial" w:hAnsi="Arial"/>
      <w:b/>
      <w:color w:val="000000"/>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Part"/>
    <w:next w:val="Normal"/>
    <w:rsid w:val="00EC5F86"/>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A02D24"/>
  </w:style>
  <w:style w:type="paragraph" w:customStyle="1" w:styleId="PBOheader">
    <w:name w:val="PBO header"/>
    <w:basedOn w:val="Header"/>
    <w:qFormat/>
    <w:rsid w:val="00520972"/>
    <w:pPr>
      <w:tabs>
        <w:tab w:val="clear" w:pos="4153"/>
        <w:tab w:val="clear" w:pos="8306"/>
      </w:tabs>
      <w:spacing w:before="1320"/>
      <w:ind w:left="6521"/>
    </w:pPr>
    <w:rPr>
      <w:rFonts w:ascii="Arial" w:eastAsia="Calibri" w:hAnsi="Arial" w:cs="Arial"/>
      <w:b/>
      <w:i w:val="0"/>
      <w:sz w:val="18"/>
      <w:szCs w:val="18"/>
      <w:lang w:val="en-AU" w:eastAsia="en-US"/>
    </w:rPr>
  </w:style>
  <w:style w:type="paragraph" w:customStyle="1" w:styleId="PBObullet">
    <w:name w:val="PBO bullet"/>
    <w:basedOn w:val="Normal"/>
    <w:qFormat/>
    <w:rsid w:val="00D66144"/>
    <w:pPr>
      <w:numPr>
        <w:numId w:val="33"/>
      </w:numPr>
      <w:tabs>
        <w:tab w:val="num" w:pos="283"/>
      </w:tabs>
      <w:ind w:left="284" w:hanging="284"/>
      <w:jc w:val="left"/>
    </w:pPr>
    <w:rPr>
      <w:rFonts w:eastAsia="Calibri"/>
      <w:szCs w:val="24"/>
      <w:lang w:eastAsia="en-US"/>
    </w:rPr>
  </w:style>
  <w:style w:type="paragraph" w:styleId="Revision">
    <w:name w:val="Revision"/>
    <w:hidden/>
    <w:uiPriority w:val="99"/>
    <w:semiHidden/>
    <w:rsid w:val="00420016"/>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4494614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3659596">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80977774">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24194762">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creativecommons.org/licenses/by/3.0/au/deed.en" TargetMode="External"/><Relationship Id="rId26" Type="http://schemas.openxmlformats.org/officeDocument/2006/relationships/header" Target="header3.xml"/><Relationship Id="rId39" Type="http://schemas.openxmlformats.org/officeDocument/2006/relationships/footer" Target="footer8.xml"/><Relationship Id="rId21" Type="http://schemas.openxmlformats.org/officeDocument/2006/relationships/hyperlink" Target="http://www.itsanhonour.gov.au" TargetMode="External"/><Relationship Id="rId34" Type="http://schemas.openxmlformats.org/officeDocument/2006/relationships/header" Target="header8.xml"/><Relationship Id="rId42" Type="http://schemas.openxmlformats.org/officeDocument/2006/relationships/header" Target="header13.xml"/><Relationship Id="rId47" Type="http://schemas.openxmlformats.org/officeDocument/2006/relationships/oleObject" Target="file:///C:\Users\dambrosiof\AppData\Local\Hewlett-Packard\HP%20TRIM\TEMP\HPTRIM.6968\PBO%202016-17%20External%20Budget%20Estimates%20-%20PBS%20tables.XLSX!Table%201.1%20NCCE!R3C1:R25C3" TargetMode="External"/><Relationship Id="rId50" Type="http://schemas.openxmlformats.org/officeDocument/2006/relationships/oleObject" Target="file:///C:\Users\dambrosiof\AppData\Local\Hewlett-Packard\HP%20TRIM\TEMP\HPTRIM.6968\PBO%202016-17%20External%20Budget%20Estimates%20-%20PBS%20tables.XLSX!Table%202.1.1%20NCCE!R7C1:R20C6" TargetMode="External"/><Relationship Id="rId55" Type="http://schemas.openxmlformats.org/officeDocument/2006/relationships/oleObject" Target="file:///C:\Users\dambrosiof\AppData\Local\Hewlett-Packard\HP%20TRIM\TEMP\HPTRIM.6968\PBO%202016-17%20External%20Budget%20Estimates%20-%20PBS%20tables.XLSX!Table%203.1%20NCCE!R4C1:R21C6" TargetMode="External"/><Relationship Id="rId63" Type="http://schemas.openxmlformats.org/officeDocument/2006/relationships/oleObject" Target="file:///C:\Users\dambrosiof\AppData\Local\Hewlett-Packard\HP%20TRIM\TEMP\HPTRIM.6968\PBO%202016-17%20External%20Budget%20Estimates%20-%20PBS%20tables.XLSX!Table%203.3!R3C1:R13C4" TargetMode="External"/><Relationship Id="rId68" Type="http://schemas.openxmlformats.org/officeDocument/2006/relationships/oleObject" Target="file:///C:\Users\dambrosiof\AppData\Local\Hewlett-Packard\HP%20TRIM\TEMP\HPTRIM.6968\PBO%202016-17%20External%20Budget%20Estimates%20-%20PBS%20tables.XLSX!Table%203.5!R3C1:R9C6" TargetMode="External"/><Relationship Id="rId7" Type="http://schemas.openxmlformats.org/officeDocument/2006/relationships/customXml" Target="../customXml/item7.xml"/><Relationship Id="rId71" Type="http://schemas.openxmlformats.org/officeDocument/2006/relationships/oleObject" Target="file:///C:\Users\dambrosiof\AppData\Local\Hewlett-Packard\HP%20TRIM\TEMP\HPTRIM.6968\PBO%202016-17%20External%20Budget%20Estimates%20-%20PBS%20tables.XLSX!Table%203.6!R4C1:R15C4"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4.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header" Target="header7.xml"/><Relationship Id="rId37" Type="http://schemas.openxmlformats.org/officeDocument/2006/relationships/header" Target="header10.xml"/><Relationship Id="rId40" Type="http://schemas.openxmlformats.org/officeDocument/2006/relationships/footer" Target="footer9.xml"/><Relationship Id="rId45" Type="http://schemas.openxmlformats.org/officeDocument/2006/relationships/header" Target="header15.xml"/><Relationship Id="rId53" Type="http://schemas.openxmlformats.org/officeDocument/2006/relationships/header" Target="header19.xml"/><Relationship Id="rId58" Type="http://schemas.openxmlformats.org/officeDocument/2006/relationships/header" Target="header20.xml"/><Relationship Id="rId66" Type="http://schemas.openxmlformats.org/officeDocument/2006/relationships/oleObject" Target="file:///C:\Users\dambrosiof\AppData\Local\Hewlett-Packard\HP%20TRIM\TEMP\HPTRIM.6968\PBO%202016-17%20External%20Budget%20Estimates%20-%20PBS%20tables.XLSX!Table%203.4!R3C1:R20C6"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4.jpeg"/><Relationship Id="rId28" Type="http://schemas.openxmlformats.org/officeDocument/2006/relationships/header" Target="header5.xml"/><Relationship Id="rId36" Type="http://schemas.openxmlformats.org/officeDocument/2006/relationships/header" Target="header9.xml"/><Relationship Id="rId49" Type="http://schemas.openxmlformats.org/officeDocument/2006/relationships/image" Target="media/image6.emf"/><Relationship Id="rId57" Type="http://schemas.openxmlformats.org/officeDocument/2006/relationships/oleObject" Target="file:///C:\Users\dambrosiof\AppData\Local\Hewlett-Packard\HP%20TRIM\TEMP\HPTRIM.6968\PBO%202016-17%20External%20Budget%20Estimates%20-%20PBS%20tables.XLSX!Table%203.1%20NCCE!R24C1:R27C6" TargetMode="External"/><Relationship Id="rId61" Type="http://schemas.openxmlformats.org/officeDocument/2006/relationships/header" Target="header21.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eader" Target="header6.xml"/><Relationship Id="rId44" Type="http://schemas.openxmlformats.org/officeDocument/2006/relationships/header" Target="header14.xml"/><Relationship Id="rId52" Type="http://schemas.openxmlformats.org/officeDocument/2006/relationships/header" Target="header18.xml"/><Relationship Id="rId60" Type="http://schemas.openxmlformats.org/officeDocument/2006/relationships/oleObject" Target="file:///C:\Users\dambrosiof\AppData\Local\Hewlett-Packard\HP%20TRIM\TEMP\HPTRIM.6968\PBO%202016-17%20External%20Budget%20Estimates%20-%20PBS%20tables.XLSX!Table%203.2!R3C1:R28C6" TargetMode="External"/><Relationship Id="rId65" Type="http://schemas.openxmlformats.org/officeDocument/2006/relationships/image" Target="media/image11.emf"/><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footer" Target="footer7.xml"/><Relationship Id="rId43" Type="http://schemas.openxmlformats.org/officeDocument/2006/relationships/footer" Target="footer10.xml"/><Relationship Id="rId48" Type="http://schemas.openxmlformats.org/officeDocument/2006/relationships/header" Target="header16.xml"/><Relationship Id="rId56" Type="http://schemas.openxmlformats.org/officeDocument/2006/relationships/image" Target="media/image8.emf"/><Relationship Id="rId64" Type="http://schemas.openxmlformats.org/officeDocument/2006/relationships/header" Target="header22.xml"/><Relationship Id="rId69" Type="http://schemas.openxmlformats.org/officeDocument/2006/relationships/header" Target="header23.xml"/><Relationship Id="rId8" Type="http://schemas.openxmlformats.org/officeDocument/2006/relationships/numbering" Target="numbering.xml"/><Relationship Id="rId51" Type="http://schemas.openxmlformats.org/officeDocument/2006/relationships/header" Target="header17.xml"/><Relationship Id="rId72" Type="http://schemas.openxmlformats.org/officeDocument/2006/relationships/header" Target="header24.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budget.gov.au" TargetMode="External"/><Relationship Id="rId33" Type="http://schemas.openxmlformats.org/officeDocument/2006/relationships/footer" Target="footer6.xml"/><Relationship Id="rId38" Type="http://schemas.openxmlformats.org/officeDocument/2006/relationships/header" Target="header11.xml"/><Relationship Id="rId46" Type="http://schemas.openxmlformats.org/officeDocument/2006/relationships/image" Target="media/image5.emf"/><Relationship Id="rId59" Type="http://schemas.openxmlformats.org/officeDocument/2006/relationships/image" Target="media/image9.emf"/><Relationship Id="rId67" Type="http://schemas.openxmlformats.org/officeDocument/2006/relationships/image" Target="media/image12.emf"/><Relationship Id="rId20" Type="http://schemas.openxmlformats.org/officeDocument/2006/relationships/hyperlink" Target="http://creativecommons.org/licenses/by/3.0/au/deed.en" TargetMode="External"/><Relationship Id="rId41" Type="http://schemas.openxmlformats.org/officeDocument/2006/relationships/header" Target="header12.xml"/><Relationship Id="rId54" Type="http://schemas.openxmlformats.org/officeDocument/2006/relationships/image" Target="media/image7.emf"/><Relationship Id="rId62" Type="http://schemas.openxmlformats.org/officeDocument/2006/relationships/image" Target="media/image10.emf"/><Relationship Id="rId7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BFCCE9A6AE7E2C4D8556A56EF67FEA5D" ma:contentTypeVersion="23" ma:contentTypeDescription="" ma:contentTypeScope="" ma:versionID="ec0d27341b5792bee9b25e90ff2f3c7c">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915c84d80c3d69a0ef1177816f9cebcb"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TaxCatchAll xmlns="eb47d8b7-fefc-4923-b53c-9685ba6b7210">
      <Value>75</Value>
    </TaxCatchAl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51F48-D27C-42E7-9EF4-DC51995FAAC9}">
  <ds:schemaRefs>
    <ds:schemaRef ds:uri="office.server.policy"/>
  </ds:schemaRefs>
</ds:datastoreItem>
</file>

<file path=customXml/itemProps2.xml><?xml version="1.0" encoding="utf-8"?>
<ds:datastoreItem xmlns:ds="http://schemas.openxmlformats.org/officeDocument/2006/customXml" ds:itemID="{D6586849-9F4F-473F-921E-27B9F1AEEEFC}">
  <ds:schemaRefs>
    <ds:schemaRef ds:uri="http://schemas.microsoft.com/office/2006/metadata/longProperties"/>
  </ds:schemaRefs>
</ds:datastoreItem>
</file>

<file path=customXml/itemProps3.xml><?xml version="1.0" encoding="utf-8"?>
<ds:datastoreItem xmlns:ds="http://schemas.openxmlformats.org/officeDocument/2006/customXml" ds:itemID="{7B9C8656-ED06-4680-A1DF-3897301C48FF}">
  <ds:schemaRefs>
    <ds:schemaRef ds:uri="http://schemas.microsoft.com/sharepoint/v3/contenttype/forms"/>
  </ds:schemaRefs>
</ds:datastoreItem>
</file>

<file path=customXml/itemProps4.xml><?xml version="1.0" encoding="utf-8"?>
<ds:datastoreItem xmlns:ds="http://schemas.openxmlformats.org/officeDocument/2006/customXml" ds:itemID="{8D35A2D8-5A19-45DA-9939-8D80890E7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E649DB-F0E0-4C7C-93B2-7B6BE183EE32}">
  <ds:schemaRefs>
    <ds:schemaRef ds:uri="http://schemas.microsoft.com/sharepoint/events"/>
  </ds:schemaRefs>
</ds:datastoreItem>
</file>

<file path=customXml/itemProps6.xml><?xml version="1.0" encoding="utf-8"?>
<ds:datastoreItem xmlns:ds="http://schemas.openxmlformats.org/officeDocument/2006/customXml" ds:itemID="{88449B4A-A925-454C-B054-811C0F3A67F2}">
  <ds:schemaRef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http://schemas.microsoft.com/sharepoint/v4"/>
    <ds:schemaRef ds:uri="eb47d8b7-fefc-4923-b53c-9685ba6b7210"/>
    <ds:schemaRef ds:uri="http://schemas.microsoft.com/office/2006/metadata/properties"/>
    <ds:schemaRef ds:uri="http://schemas.microsoft.com/sharepoint/v3"/>
    <ds:schemaRef ds:uri="http://schemas.microsoft.com/office/infopath/2007/PartnerControls"/>
    <ds:schemaRef ds:uri="http://www.w3.org/XML/1998/namespace"/>
  </ds:schemaRefs>
</ds:datastoreItem>
</file>

<file path=customXml/itemProps7.xml><?xml version="1.0" encoding="utf-8"?>
<ds:datastoreItem xmlns:ds="http://schemas.openxmlformats.org/officeDocument/2006/customXml" ds:itemID="{6A784CD9-E9D3-440C-A0B2-CB4D645F9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0</TotalTime>
  <Pages>24</Pages>
  <Words>2509</Words>
  <Characters>14302</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Portfolio Budget Statements</vt:lpstr>
    </vt:vector>
  </TitlesOfParts>
  <Company>Australian Government - The Treasury</Company>
  <LinksUpToDate>false</LinksUpToDate>
  <CharactersWithSpaces>16778</CharactersWithSpaces>
  <SharedDoc>false</SharedDoc>
  <HLinks>
    <vt:vector size="84" baseType="variant">
      <vt:variant>
        <vt:i4>1376317</vt:i4>
      </vt:variant>
      <vt:variant>
        <vt:i4>71</vt:i4>
      </vt:variant>
      <vt:variant>
        <vt:i4>0</vt:i4>
      </vt:variant>
      <vt:variant>
        <vt:i4>5</vt:i4>
      </vt:variant>
      <vt:variant>
        <vt:lpwstr/>
      </vt:variant>
      <vt:variant>
        <vt:lpwstr>_Toc449451537</vt:lpwstr>
      </vt:variant>
      <vt:variant>
        <vt:i4>1376317</vt:i4>
      </vt:variant>
      <vt:variant>
        <vt:i4>65</vt:i4>
      </vt:variant>
      <vt:variant>
        <vt:i4>0</vt:i4>
      </vt:variant>
      <vt:variant>
        <vt:i4>5</vt:i4>
      </vt:variant>
      <vt:variant>
        <vt:lpwstr/>
      </vt:variant>
      <vt:variant>
        <vt:lpwstr>_Toc449451536</vt:lpwstr>
      </vt:variant>
      <vt:variant>
        <vt:i4>1376317</vt:i4>
      </vt:variant>
      <vt:variant>
        <vt:i4>59</vt:i4>
      </vt:variant>
      <vt:variant>
        <vt:i4>0</vt:i4>
      </vt:variant>
      <vt:variant>
        <vt:i4>5</vt:i4>
      </vt:variant>
      <vt:variant>
        <vt:lpwstr/>
      </vt:variant>
      <vt:variant>
        <vt:lpwstr>_Toc449451535</vt:lpwstr>
      </vt:variant>
      <vt:variant>
        <vt:i4>1376317</vt:i4>
      </vt:variant>
      <vt:variant>
        <vt:i4>53</vt:i4>
      </vt:variant>
      <vt:variant>
        <vt:i4>0</vt:i4>
      </vt:variant>
      <vt:variant>
        <vt:i4>5</vt:i4>
      </vt:variant>
      <vt:variant>
        <vt:lpwstr/>
      </vt:variant>
      <vt:variant>
        <vt:lpwstr>_Toc449451534</vt:lpwstr>
      </vt:variant>
      <vt:variant>
        <vt:i4>1376317</vt:i4>
      </vt:variant>
      <vt:variant>
        <vt:i4>47</vt:i4>
      </vt:variant>
      <vt:variant>
        <vt:i4>0</vt:i4>
      </vt:variant>
      <vt:variant>
        <vt:i4>5</vt:i4>
      </vt:variant>
      <vt:variant>
        <vt:lpwstr/>
      </vt:variant>
      <vt:variant>
        <vt:lpwstr>_Toc449451533</vt:lpwstr>
      </vt:variant>
      <vt:variant>
        <vt:i4>1376317</vt:i4>
      </vt:variant>
      <vt:variant>
        <vt:i4>41</vt:i4>
      </vt:variant>
      <vt:variant>
        <vt:i4>0</vt:i4>
      </vt:variant>
      <vt:variant>
        <vt:i4>5</vt:i4>
      </vt:variant>
      <vt:variant>
        <vt:lpwstr/>
      </vt:variant>
      <vt:variant>
        <vt:lpwstr>_Toc449451532</vt:lpwstr>
      </vt:variant>
      <vt:variant>
        <vt:i4>1376317</vt:i4>
      </vt:variant>
      <vt:variant>
        <vt:i4>35</vt:i4>
      </vt:variant>
      <vt:variant>
        <vt:i4>0</vt:i4>
      </vt:variant>
      <vt:variant>
        <vt:i4>5</vt:i4>
      </vt:variant>
      <vt:variant>
        <vt:lpwstr/>
      </vt:variant>
      <vt:variant>
        <vt:lpwstr>_Toc449451531</vt:lpwstr>
      </vt:variant>
      <vt:variant>
        <vt:i4>1769524</vt:i4>
      </vt:variant>
      <vt:variant>
        <vt:i4>26</vt:i4>
      </vt:variant>
      <vt:variant>
        <vt:i4>0</vt:i4>
      </vt:variant>
      <vt:variant>
        <vt:i4>5</vt:i4>
      </vt:variant>
      <vt:variant>
        <vt:lpwstr/>
      </vt:variant>
      <vt:variant>
        <vt:lpwstr>_Toc449514893</vt:lpwstr>
      </vt:variant>
      <vt:variant>
        <vt:i4>1769524</vt:i4>
      </vt:variant>
      <vt:variant>
        <vt:i4>20</vt:i4>
      </vt:variant>
      <vt:variant>
        <vt:i4>0</vt:i4>
      </vt:variant>
      <vt:variant>
        <vt:i4>5</vt:i4>
      </vt:variant>
      <vt:variant>
        <vt:lpwstr/>
      </vt:variant>
      <vt:variant>
        <vt:lpwstr>_Toc449514892</vt:lpwstr>
      </vt:variant>
      <vt:variant>
        <vt:i4>1769524</vt:i4>
      </vt:variant>
      <vt:variant>
        <vt:i4>14</vt:i4>
      </vt:variant>
      <vt:variant>
        <vt:i4>0</vt:i4>
      </vt:variant>
      <vt:variant>
        <vt:i4>5</vt:i4>
      </vt:variant>
      <vt:variant>
        <vt:lpwstr/>
      </vt:variant>
      <vt:variant>
        <vt:lpwstr>_Toc449514891</vt:lpwstr>
      </vt:variant>
      <vt:variant>
        <vt:i4>5374022</vt:i4>
      </vt:variant>
      <vt:variant>
        <vt:i4>9</vt:i4>
      </vt:variant>
      <vt:variant>
        <vt:i4>0</vt:i4>
      </vt:variant>
      <vt:variant>
        <vt:i4>5</vt:i4>
      </vt:variant>
      <vt:variant>
        <vt:lpwstr>http://www.budget.gov.au/</vt:lpwstr>
      </vt:variant>
      <vt:variant>
        <vt:lpwstr/>
      </vt:variant>
      <vt:variant>
        <vt:i4>7471148</vt:i4>
      </vt:variant>
      <vt:variant>
        <vt:i4>6</vt:i4>
      </vt:variant>
      <vt:variant>
        <vt:i4>0</vt:i4>
      </vt:variant>
      <vt:variant>
        <vt:i4>5</vt:i4>
      </vt:variant>
      <vt:variant>
        <vt:lpwstr>http://www.itsanhonour.gov.au/</vt:lpwstr>
      </vt:variant>
      <vt:variant>
        <vt:lpwstr/>
      </vt:variant>
      <vt:variant>
        <vt:i4>5111827</vt:i4>
      </vt:variant>
      <vt:variant>
        <vt:i4>3</vt:i4>
      </vt:variant>
      <vt:variant>
        <vt:i4>0</vt:i4>
      </vt:variant>
      <vt:variant>
        <vt:i4>5</vt:i4>
      </vt:variant>
      <vt:variant>
        <vt:lpwstr>http://creativecommons.org/licenses/by/3.0/au/deed.en</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dc:title>
  <dc:subject>Department Name</dc:subject>
  <dc:creator>PBO@pbo.gov.au</dc:creator>
  <cp:keywords/>
  <cp:lastModifiedBy>D'Ambrosio, Fritz (PBO)</cp:lastModifiedBy>
  <cp:revision>2</cp:revision>
  <cp:lastPrinted>2016-04-27T00:35:00Z</cp:lastPrinted>
  <dcterms:created xsi:type="dcterms:W3CDTF">2016-05-03T01:25:00Z</dcterms:created>
  <dcterms:modified xsi:type="dcterms:W3CDTF">2016-05-03T01:25:00Z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0x010100605AAC981168BE40A9BD548B81A50DF600BFCCE9A6AE7E2C4D8556A56EF67FEA5D</vt:lpwstr>
  </property>
  <property fmtid="{D5CDD505-2E9C-101B-9397-08002B2CF9AE}" pid="5" name="TSYRecordClass">
    <vt:lpwstr>75;#AE-20337-Destroy 7 years after action completed|668ae28e-5138-4c7c-82db-1c8c6afc81a6</vt:lpwstr>
  </property>
  <property fmtid="{D5CDD505-2E9C-101B-9397-08002B2CF9AE}" pid="6" name="_dlc_DocIdItemGuid">
    <vt:lpwstr>f4ae592a-cc65-4647-aaea-335fa6d3e52a</vt:lpwstr>
  </property>
  <property fmtid="{D5CDD505-2E9C-101B-9397-08002B2CF9AE}" pid="7" name="_dlc_DocId">
    <vt:lpwstr>2015CSSG-1223-323</vt:lpwstr>
  </property>
  <property fmtid="{D5CDD505-2E9C-101B-9397-08002B2CF9AE}" pid="8" name="_dlc_DocIdUrl">
    <vt:lpwstr>http://tweb/sites/cssg/ped/pu/pt/_layouts/15/DocIdRedir.aspx?ID=2015CSSG-1223-323, 2015CSSG-1223-323</vt:lpwstr>
  </property>
  <property fmtid="{D5CDD505-2E9C-101B-9397-08002B2CF9AE}" pid="9" name="Language">
    <vt:lpwstr>English</vt:lpwstr>
  </property>
  <property fmtid="{D5CDD505-2E9C-101B-9397-08002B2CF9AE}" pid="10" name="RecordPoint_WorkflowType">
    <vt:lpwstr>ActiveSubmitStub</vt:lpwstr>
  </property>
  <property fmtid="{D5CDD505-2E9C-101B-9397-08002B2CF9AE}" pid="11" name="RecordPoint_ActiveItemSiteId">
    <vt:lpwstr>{de902461-0703-410e-906b-a2e3a4f5dd57}</vt:lpwstr>
  </property>
  <property fmtid="{D5CDD505-2E9C-101B-9397-08002B2CF9AE}" pid="12" name="RecordPoint_ActiveItemListId">
    <vt:lpwstr>{fd8d1e70-36b5-4dd3-8d5f-44a874085014}</vt:lpwstr>
  </property>
  <property fmtid="{D5CDD505-2E9C-101B-9397-08002B2CF9AE}" pid="13" name="RecordPoint_ActiveItemUniqueId">
    <vt:lpwstr>{f4ae592a-cc65-4647-aaea-335fa6d3e52a}</vt:lpwstr>
  </property>
  <property fmtid="{D5CDD505-2E9C-101B-9397-08002B2CF9AE}" pid="14" name="RecordPoint_ActiveItemWebId">
    <vt:lpwstr>{e237d495-0881-4849-ae62-ddc8a8132df5}</vt:lpwstr>
  </property>
</Properties>
</file>