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2EF" w:rsidRDefault="00194316" w:rsidP="009A02EF">
      <w:pPr>
        <w:pStyle w:val="BodyText"/>
      </w:pPr>
      <w:r>
        <w:t>21</w:t>
      </w:r>
      <w:r w:rsidR="00C903DE">
        <w:t xml:space="preserve"> December 2017</w:t>
      </w:r>
    </w:p>
    <w:p w:rsidR="009F7CC1" w:rsidRDefault="009A02EF" w:rsidP="009F7CC1">
      <w:pPr>
        <w:pStyle w:val="Heading1"/>
      </w:pPr>
      <w:r w:rsidRPr="009F7CC1">
        <w:t>Media release</w:t>
      </w:r>
    </w:p>
    <w:p w:rsidR="00961DBB" w:rsidRPr="009F7CC1" w:rsidRDefault="00904264" w:rsidP="009F7CC1">
      <w:pPr>
        <w:pStyle w:val="Heading1"/>
      </w:pPr>
      <w:r>
        <w:t xml:space="preserve">PBO </w:t>
      </w:r>
      <w:r w:rsidR="00B16014">
        <w:t>establishes</w:t>
      </w:r>
      <w:r>
        <w:t xml:space="preserve"> panel of expert</w:t>
      </w:r>
      <w:r w:rsidR="009A4D0D">
        <w:t xml:space="preserve"> advisors</w:t>
      </w:r>
    </w:p>
    <w:p w:rsidR="009A02EF" w:rsidRDefault="00904264" w:rsidP="009A02EF">
      <w:pPr>
        <w:pStyle w:val="BodyText"/>
      </w:pPr>
      <w:r>
        <w:t xml:space="preserve">The Parliamentary Budget Office has </w:t>
      </w:r>
      <w:r w:rsidR="009A4D0D">
        <w:t xml:space="preserve">today announced </w:t>
      </w:r>
      <w:r w:rsidR="00B16014">
        <w:t xml:space="preserve">the establishment of </w:t>
      </w:r>
      <w:r w:rsidR="009A4D0D">
        <w:t xml:space="preserve">a </w:t>
      </w:r>
      <w:r w:rsidR="00B16014">
        <w:t>seven</w:t>
      </w:r>
      <w:r w:rsidR="00286856">
        <w:noBreakHyphen/>
      </w:r>
      <w:r w:rsidR="009A4D0D">
        <w:t xml:space="preserve">person panel of </w:t>
      </w:r>
      <w:r w:rsidR="00194316">
        <w:t xml:space="preserve">economic, fiscal and </w:t>
      </w:r>
      <w:r w:rsidR="009A4D0D">
        <w:t xml:space="preserve">public </w:t>
      </w:r>
      <w:r w:rsidR="00194316">
        <w:t>finance</w:t>
      </w:r>
      <w:r w:rsidR="009A4D0D">
        <w:t xml:space="preserve"> experts to assist in ensuring that the work of the Parliamentary Budget Office is of the highest analytical quality</w:t>
      </w:r>
      <w:r w:rsidR="003A4850">
        <w:t>, is well</w:t>
      </w:r>
      <w:r w:rsidR="009A4D0D">
        <w:t xml:space="preserve"> considered</w:t>
      </w:r>
      <w:r w:rsidR="003A4850">
        <w:t xml:space="preserve"> and draws upon expertise from a range of sources</w:t>
      </w:r>
      <w:r w:rsidR="009A4D0D">
        <w:t xml:space="preserve">.  </w:t>
      </w:r>
    </w:p>
    <w:p w:rsidR="00B16014" w:rsidRDefault="009A4D0D" w:rsidP="00985274">
      <w:pPr>
        <w:pStyle w:val="BodyText"/>
      </w:pPr>
      <w:r>
        <w:t>Jenny Wilkinson, the Par</w:t>
      </w:r>
      <w:r w:rsidR="003A4850">
        <w:t>l</w:t>
      </w:r>
      <w:r>
        <w:t xml:space="preserve">iamentary </w:t>
      </w:r>
      <w:r w:rsidR="003A4850">
        <w:t>Bu</w:t>
      </w:r>
      <w:r w:rsidR="00194316">
        <w:t>dget Officer, stated</w:t>
      </w:r>
      <w:r w:rsidR="00064E6C">
        <w:t>,</w:t>
      </w:r>
      <w:r w:rsidR="00194316">
        <w:t xml:space="preserve"> </w:t>
      </w:r>
      <w:r w:rsidR="00B16014" w:rsidRPr="00B16014">
        <w:t xml:space="preserve">“I am very grateful to the members of the panel for agreeing to serve in this capacity. </w:t>
      </w:r>
      <w:r w:rsidR="00B828A4">
        <w:t xml:space="preserve"> </w:t>
      </w:r>
      <w:r w:rsidR="00B16014" w:rsidRPr="00B16014">
        <w:t xml:space="preserve">We are </w:t>
      </w:r>
      <w:r w:rsidR="00B16014">
        <w:t>fortunate</w:t>
      </w:r>
      <w:r w:rsidR="00B16014" w:rsidRPr="00B16014">
        <w:t xml:space="preserve"> to have secured people of such experience</w:t>
      </w:r>
      <w:r w:rsidR="00B16014">
        <w:t xml:space="preserve"> and expertise. </w:t>
      </w:r>
      <w:r w:rsidR="00B828A4">
        <w:t xml:space="preserve"> </w:t>
      </w:r>
      <w:r w:rsidR="00B16014">
        <w:t xml:space="preserve">They will be a </w:t>
      </w:r>
      <w:r w:rsidR="00B16014" w:rsidRPr="00B16014">
        <w:t xml:space="preserve">valuable source of advice for the PBO </w:t>
      </w:r>
      <w:r w:rsidR="00B16014">
        <w:t>and will assist with the development and evaluation of our work program and methodologies</w:t>
      </w:r>
      <w:r w:rsidR="00B16014" w:rsidRPr="00B16014">
        <w:t xml:space="preserve">.” </w:t>
      </w:r>
      <w:r w:rsidR="00B16014">
        <w:t xml:space="preserve">  </w:t>
      </w:r>
    </w:p>
    <w:p w:rsidR="00985274" w:rsidRDefault="003A4850" w:rsidP="00985274">
      <w:pPr>
        <w:pStyle w:val="BodyText"/>
      </w:pPr>
      <w:r>
        <w:t>The members of the inaugural panel and the terms of reference for the panel are attached.</w:t>
      </w:r>
    </w:p>
    <w:p w:rsidR="00985274" w:rsidRDefault="00985274" w:rsidP="009A02EF">
      <w:pPr>
        <w:pStyle w:val="BodyText"/>
      </w:pPr>
    </w:p>
    <w:p w:rsidR="00985274" w:rsidRDefault="00985274" w:rsidP="009F7CC1">
      <w:pPr>
        <w:pStyle w:val="BodyText"/>
        <w:spacing w:before="0" w:line="260" w:lineRule="atLeast"/>
        <w:rPr>
          <w:rFonts w:eastAsia="Times New Roman"/>
          <w:lang w:eastAsia="en-AU"/>
        </w:rPr>
        <w:sectPr w:rsidR="00985274" w:rsidSect="009A02EF">
          <w:headerReference w:type="even" r:id="rId9"/>
          <w:footerReference w:type="even" r:id="rId10"/>
          <w:footerReference w:type="default" r:id="rId11"/>
          <w:headerReference w:type="first" r:id="rId12"/>
          <w:footerReference w:type="first" r:id="rId13"/>
          <w:pgSz w:w="11906" w:h="16838" w:code="9"/>
          <w:pgMar w:top="1361" w:right="1797" w:bottom="1474" w:left="1797" w:header="709" w:footer="709" w:gutter="0"/>
          <w:pgNumType w:start="1"/>
          <w:cols w:space="708"/>
          <w:titlePg/>
          <w:docGrid w:linePitch="360"/>
        </w:sectPr>
      </w:pPr>
    </w:p>
    <w:p w:rsidR="00432D8F" w:rsidRDefault="00432D8F" w:rsidP="00432D8F">
      <w:pPr>
        <w:pStyle w:val="Heading1"/>
        <w:spacing w:before="0" w:after="340"/>
        <w:jc w:val="left"/>
      </w:pPr>
      <w:bookmarkStart w:id="0" w:name="_Toc485221634"/>
      <w:r w:rsidRPr="00985274">
        <w:lastRenderedPageBreak/>
        <w:t>Me</w:t>
      </w:r>
      <w:r w:rsidR="00041249">
        <w:t>mbership of PBO panel of expert</w:t>
      </w:r>
      <w:r w:rsidR="00DA0F39">
        <w:t xml:space="preserve"> advisors</w:t>
      </w:r>
    </w:p>
    <w:p w:rsidR="00432D8F" w:rsidRPr="00187A07" w:rsidRDefault="00432D8F" w:rsidP="00432D8F">
      <w:pPr>
        <w:spacing w:before="200" w:after="60"/>
        <w:rPr>
          <w:rFonts w:asciiTheme="minorHAnsi" w:hAnsiTheme="minorHAnsi"/>
          <w:b/>
          <w:color w:val="2B3B5F" w:themeColor="text2"/>
          <w:sz w:val="24"/>
          <w:szCs w:val="24"/>
        </w:rPr>
      </w:pPr>
      <w:r w:rsidRPr="00187A07">
        <w:rPr>
          <w:rFonts w:asciiTheme="minorHAnsi" w:hAnsiTheme="minorHAnsi"/>
          <w:b/>
          <w:color w:val="2B3B5F" w:themeColor="text2"/>
          <w:sz w:val="24"/>
          <w:szCs w:val="24"/>
        </w:rPr>
        <w:t>Paul Abbey</w:t>
      </w:r>
    </w:p>
    <w:p w:rsidR="00432D8F" w:rsidRPr="00FA55F3" w:rsidRDefault="00432D8F" w:rsidP="00432D8F">
      <w:pPr>
        <w:spacing w:after="200" w:line="264" w:lineRule="auto"/>
      </w:pPr>
      <w:r w:rsidRPr="00FA55F3">
        <w:t>Paul Abbey is a Partner in the International Tax and Transaction Services group of PricewaterhouseCoopers (PwC).  He has experience in tax due diligence, acquisition structuring, capital raisings and initial public offerings.  The focus of his work is on issues surrounding consolidation, imputation, capital returns, taxation of trusts, international tax, and PwC's Tax Reform project.</w:t>
      </w:r>
    </w:p>
    <w:p w:rsidR="00432D8F" w:rsidRPr="00FA55F3" w:rsidRDefault="00432D8F" w:rsidP="00432D8F">
      <w:pPr>
        <w:spacing w:before="200" w:after="60"/>
        <w:rPr>
          <w:rFonts w:asciiTheme="minorHAnsi" w:hAnsiTheme="minorHAnsi"/>
          <w:b/>
          <w:color w:val="2B3B5F" w:themeColor="text2"/>
          <w:sz w:val="24"/>
          <w:szCs w:val="24"/>
        </w:rPr>
      </w:pPr>
      <w:r w:rsidRPr="00FA55F3">
        <w:rPr>
          <w:rFonts w:asciiTheme="minorHAnsi" w:hAnsiTheme="minorHAnsi"/>
          <w:b/>
          <w:color w:val="2B3B5F" w:themeColor="text2"/>
          <w:sz w:val="24"/>
          <w:szCs w:val="24"/>
        </w:rPr>
        <w:t>Robert Breunig</w:t>
      </w:r>
    </w:p>
    <w:p w:rsidR="00432D8F" w:rsidRPr="00FA55F3" w:rsidRDefault="00432D8F" w:rsidP="00432D8F">
      <w:pPr>
        <w:spacing w:after="200" w:line="276" w:lineRule="auto"/>
      </w:pPr>
      <w:r>
        <w:t xml:space="preserve">Professor </w:t>
      </w:r>
      <w:r w:rsidRPr="00FA55F3">
        <w:t>Robert Breunig is the Director of the Tax and Transfer Policy Institute</w:t>
      </w:r>
      <w:r w:rsidR="00DA0F39">
        <w:t xml:space="preserve"> at the ANU</w:t>
      </w:r>
      <w:r w:rsidRPr="00FA55F3">
        <w:t xml:space="preserve"> and held the role of Acting Director of the Crawford School of Public Policy in 2015–16.  Professor Breunig has worked in a number of important public policy areas including: the relationship between child care and women’s labour supply; the effect of immigration to Australia on the labour marke</w:t>
      </w:r>
      <w:r w:rsidR="00DA0F39">
        <w:t>t prospects of Australians; and</w:t>
      </w:r>
      <w:r w:rsidRPr="00FA55F3">
        <w:t xml:space="preserve"> the intergenerational transmission of disadvantage.  </w:t>
      </w:r>
    </w:p>
    <w:p w:rsidR="00432D8F" w:rsidRPr="00FA55F3" w:rsidRDefault="00432D8F" w:rsidP="00432D8F">
      <w:pPr>
        <w:spacing w:before="200" w:after="60"/>
        <w:rPr>
          <w:rFonts w:asciiTheme="minorHAnsi" w:hAnsiTheme="minorHAnsi"/>
          <w:b/>
          <w:color w:val="2B3B5F" w:themeColor="text2"/>
          <w:sz w:val="24"/>
          <w:szCs w:val="24"/>
        </w:rPr>
      </w:pPr>
      <w:r w:rsidRPr="00FA55F3">
        <w:rPr>
          <w:rFonts w:asciiTheme="minorHAnsi" w:hAnsiTheme="minorHAnsi"/>
          <w:b/>
          <w:color w:val="2B3B5F" w:themeColor="text2"/>
          <w:sz w:val="24"/>
          <w:szCs w:val="24"/>
        </w:rPr>
        <w:t>Robert Carling</w:t>
      </w:r>
    </w:p>
    <w:p w:rsidR="00432D8F" w:rsidRPr="00FA55F3" w:rsidRDefault="00432D8F" w:rsidP="00432D8F">
      <w:pPr>
        <w:spacing w:after="200" w:line="276" w:lineRule="auto"/>
      </w:pPr>
      <w:r w:rsidRPr="00FA55F3">
        <w:t>Robert Carling is a Senior Fellow at the Centre for Independent Studies.  He specialises in areas of fiscal policy, taxation and federalism.  He has been Executive Director, Economic and Fiscal at the New South Wales Treasury and worked at the</w:t>
      </w:r>
      <w:r w:rsidR="00064E6C">
        <w:t xml:space="preserve"> Australian Government </w:t>
      </w:r>
      <w:r w:rsidRPr="00FA55F3">
        <w:t>Treasury, the World Bank and the International Monetary Fund.</w:t>
      </w:r>
    </w:p>
    <w:p w:rsidR="00432D8F" w:rsidRPr="00FA55F3" w:rsidRDefault="00432D8F" w:rsidP="00432D8F">
      <w:pPr>
        <w:spacing w:before="200" w:after="60"/>
        <w:rPr>
          <w:rFonts w:asciiTheme="minorHAnsi" w:hAnsiTheme="minorHAnsi"/>
          <w:b/>
          <w:color w:val="2B3B5F" w:themeColor="text2"/>
          <w:sz w:val="24"/>
          <w:szCs w:val="24"/>
        </w:rPr>
      </w:pPr>
      <w:r w:rsidRPr="00FA55F3">
        <w:rPr>
          <w:rFonts w:asciiTheme="minorHAnsi" w:hAnsiTheme="minorHAnsi"/>
          <w:b/>
          <w:color w:val="2B3B5F" w:themeColor="text2"/>
          <w:sz w:val="24"/>
          <w:szCs w:val="24"/>
        </w:rPr>
        <w:t>Melinda Cilento</w:t>
      </w:r>
    </w:p>
    <w:p w:rsidR="00432D8F" w:rsidRPr="00FA55F3" w:rsidRDefault="00432D8F" w:rsidP="00432D8F">
      <w:pPr>
        <w:spacing w:after="200" w:line="276" w:lineRule="auto"/>
      </w:pPr>
      <w:r w:rsidRPr="00FA55F3">
        <w:t>Melinda Cilento is the Chief Executive of the Committee for Economic</w:t>
      </w:r>
      <w:r w:rsidR="00064E6C">
        <w:t xml:space="preserve"> Development of Australia</w:t>
      </w:r>
      <w:r w:rsidRPr="00FA55F3">
        <w:t xml:space="preserve">.  She has a number of </w:t>
      </w:r>
      <w:r w:rsidR="00064E6C">
        <w:t xml:space="preserve">other </w:t>
      </w:r>
      <w:r w:rsidRPr="00FA55F3">
        <w:t>roles including being a non-executive director of Woodside Petroleum and Australian Unity.  She was previously a Commissioner with the Productivity Commission, and has held senior roles in the Business Council of Australia, the Treasury, Invesco and the International Monetary Fund.</w:t>
      </w:r>
    </w:p>
    <w:p w:rsidR="00432D8F" w:rsidRPr="00FA55F3" w:rsidRDefault="00432D8F" w:rsidP="00432D8F">
      <w:pPr>
        <w:spacing w:before="200" w:after="60"/>
        <w:rPr>
          <w:rFonts w:asciiTheme="minorHAnsi" w:hAnsiTheme="minorHAnsi"/>
          <w:b/>
          <w:color w:val="2B3B5F" w:themeColor="text2"/>
          <w:sz w:val="24"/>
          <w:szCs w:val="24"/>
        </w:rPr>
      </w:pPr>
      <w:r w:rsidRPr="00FA55F3">
        <w:rPr>
          <w:rFonts w:asciiTheme="minorHAnsi" w:hAnsiTheme="minorHAnsi"/>
          <w:b/>
          <w:color w:val="2B3B5F" w:themeColor="text2"/>
          <w:sz w:val="24"/>
          <w:szCs w:val="24"/>
        </w:rPr>
        <w:t>Saul Eslake</w:t>
      </w:r>
    </w:p>
    <w:p w:rsidR="00432D8F" w:rsidRPr="00FA55F3" w:rsidRDefault="00432D8F" w:rsidP="00432D8F">
      <w:pPr>
        <w:spacing w:after="200" w:line="276" w:lineRule="auto"/>
      </w:pPr>
      <w:r w:rsidRPr="00FA55F3">
        <w:t xml:space="preserve">Saul Eslake is an independent economist and Vice-Chancellor’s Fellow at the University of Tasmania.  </w:t>
      </w:r>
      <w:r>
        <w:br/>
      </w:r>
      <w:r w:rsidRPr="00FA55F3">
        <w:t>He has held senior roles in financial markets, including as Chief Economist of the Australia &amp; New Zealand Banking Group (ANZ) and as Chief Economist (Australia and New Zealand) for Bank of America Merrill Lynch.  He also held the role of Director of the Productivity Growth Program at the Grattan Institute.</w:t>
      </w:r>
    </w:p>
    <w:p w:rsidR="00432D8F" w:rsidRPr="00FA55F3" w:rsidRDefault="00432D8F" w:rsidP="00432D8F">
      <w:pPr>
        <w:spacing w:before="200" w:after="60"/>
        <w:rPr>
          <w:rFonts w:asciiTheme="minorHAnsi" w:hAnsiTheme="minorHAnsi"/>
          <w:b/>
          <w:color w:val="2B3B5F" w:themeColor="text2"/>
          <w:sz w:val="24"/>
          <w:szCs w:val="24"/>
        </w:rPr>
      </w:pPr>
      <w:r w:rsidRPr="00FA55F3">
        <w:rPr>
          <w:rFonts w:asciiTheme="minorHAnsi" w:hAnsiTheme="minorHAnsi"/>
          <w:b/>
          <w:color w:val="2B3B5F" w:themeColor="text2"/>
          <w:sz w:val="24"/>
          <w:szCs w:val="24"/>
        </w:rPr>
        <w:t>Abigail Payne</w:t>
      </w:r>
    </w:p>
    <w:p w:rsidR="00432D8F" w:rsidRPr="00FA55F3" w:rsidRDefault="00267260" w:rsidP="00432D8F">
      <w:pPr>
        <w:spacing w:after="200" w:line="276" w:lineRule="auto"/>
      </w:pPr>
      <w:r>
        <w:t xml:space="preserve">Professor </w:t>
      </w:r>
      <w:r w:rsidR="00432D8F" w:rsidRPr="00FA55F3">
        <w:t xml:space="preserve">Abigail Payne is the Director of the Melbourne Institute of Applied Economic and Social Research and holds the Ronald Henderson Professorship.  </w:t>
      </w:r>
      <w:r w:rsidR="00432D8F">
        <w:t xml:space="preserve">Professor Payne’s </w:t>
      </w:r>
      <w:r w:rsidR="00432D8F" w:rsidRPr="00FA55F3">
        <w:t xml:space="preserve">research focuses on empirical public economics issues, including how government policy affects spending and performance.  Her research in education </w:t>
      </w:r>
      <w:r w:rsidR="00432D8F">
        <w:t>has focussed on</w:t>
      </w:r>
      <w:r w:rsidR="00432D8F" w:rsidRPr="00FA55F3">
        <w:t xml:space="preserve"> </w:t>
      </w:r>
      <w:r w:rsidR="00432D8F">
        <w:t xml:space="preserve">the drivers of </w:t>
      </w:r>
      <w:r w:rsidR="00432D8F" w:rsidRPr="00FA55F3">
        <w:t>decision</w:t>
      </w:r>
      <w:r w:rsidR="00432D8F">
        <w:t>s</w:t>
      </w:r>
      <w:r w:rsidR="00432D8F" w:rsidRPr="00FA55F3">
        <w:t xml:space="preserve"> to </w:t>
      </w:r>
      <w:r w:rsidR="00432D8F">
        <w:t>attend post-secondary education and</w:t>
      </w:r>
      <w:r w:rsidR="00432D8F" w:rsidRPr="00FA55F3">
        <w:t xml:space="preserve"> understanding gender </w:t>
      </w:r>
      <w:r w:rsidR="00432D8F">
        <w:t>differences</w:t>
      </w:r>
      <w:r w:rsidR="00432D8F" w:rsidRPr="00FA55F3">
        <w:t xml:space="preserve"> in educational </w:t>
      </w:r>
      <w:r w:rsidR="00432D8F">
        <w:t>attendance and performance</w:t>
      </w:r>
      <w:r w:rsidR="00432D8F" w:rsidRPr="00FA55F3">
        <w:t>.</w:t>
      </w:r>
    </w:p>
    <w:p w:rsidR="00432D8F" w:rsidRPr="00187A07" w:rsidRDefault="00432D8F" w:rsidP="00432D8F">
      <w:pPr>
        <w:spacing w:before="200" w:after="60"/>
        <w:rPr>
          <w:rFonts w:asciiTheme="minorHAnsi" w:hAnsiTheme="minorHAnsi"/>
          <w:b/>
          <w:color w:val="2B3B5F" w:themeColor="text2"/>
          <w:sz w:val="24"/>
          <w:szCs w:val="24"/>
        </w:rPr>
      </w:pPr>
      <w:r w:rsidRPr="00FA55F3">
        <w:rPr>
          <w:rFonts w:asciiTheme="minorHAnsi" w:hAnsiTheme="minorHAnsi"/>
          <w:b/>
          <w:color w:val="2B3B5F" w:themeColor="text2"/>
          <w:sz w:val="24"/>
          <w:szCs w:val="24"/>
        </w:rPr>
        <w:t>David Tune</w:t>
      </w:r>
      <w:r w:rsidR="00FB1C43">
        <w:rPr>
          <w:rFonts w:asciiTheme="minorHAnsi" w:hAnsiTheme="minorHAnsi"/>
          <w:b/>
          <w:color w:val="2B3B5F" w:themeColor="text2"/>
          <w:sz w:val="24"/>
          <w:szCs w:val="24"/>
        </w:rPr>
        <w:t xml:space="preserve"> AO PSM</w:t>
      </w:r>
    </w:p>
    <w:p w:rsidR="00432D8F" w:rsidRPr="00FA55F3" w:rsidRDefault="00432D8F" w:rsidP="00432D8F">
      <w:pPr>
        <w:spacing w:after="120"/>
        <w:rPr>
          <w:rFonts w:asciiTheme="minorHAnsi" w:hAnsiTheme="minorHAnsi"/>
          <w:b/>
          <w:color w:val="657EB9" w:themeColor="text2" w:themeTint="99"/>
          <w:sz w:val="26"/>
          <w:szCs w:val="26"/>
        </w:rPr>
      </w:pPr>
      <w:r w:rsidRPr="00FA55F3">
        <w:t xml:space="preserve">David Tune is the Chair of the Aged Care Sector Committee which advises the Government on aged care policy development and implementation and helps to guide the future reform of the aged care system.  </w:t>
      </w:r>
      <w:r>
        <w:br/>
      </w:r>
      <w:r w:rsidRPr="00FA55F3">
        <w:t xml:space="preserve">He has held many senior positions in the Australian Public Service, including Secretary of the </w:t>
      </w:r>
      <w:r>
        <w:br/>
      </w:r>
      <w:r w:rsidRPr="00FA55F3">
        <w:t>Department of Finance, Associate Secretary in the Department of the Pri</w:t>
      </w:r>
      <w:r w:rsidR="00FB1C43">
        <w:t>me Minister and Cabinet, Deputy </w:t>
      </w:r>
      <w:r w:rsidRPr="00FA55F3">
        <w:t>Secretary in the Treasury and senior executive positions in the Department of Social Security and Family and Community Services.</w:t>
      </w:r>
    </w:p>
    <w:p w:rsidR="00985274" w:rsidRDefault="00985274" w:rsidP="00985274">
      <w:pPr>
        <w:pStyle w:val="Heading1"/>
        <w:spacing w:before="480" w:after="340"/>
        <w:jc w:val="left"/>
      </w:pPr>
      <w:r>
        <w:lastRenderedPageBreak/>
        <w:t>Terms of reference – Panel of expert advisors</w:t>
      </w:r>
    </w:p>
    <w:bookmarkEnd w:id="0"/>
    <w:p w:rsidR="00985274" w:rsidRDefault="00985274" w:rsidP="00985274">
      <w:pPr>
        <w:pStyle w:val="Heading2"/>
        <w:rPr>
          <w:lang w:val="en"/>
        </w:rPr>
      </w:pPr>
      <w:r>
        <w:rPr>
          <w:lang w:val="en"/>
        </w:rPr>
        <w:t>Purpose and authority</w:t>
      </w:r>
    </w:p>
    <w:p w:rsidR="00985274" w:rsidRPr="0011310A" w:rsidRDefault="00985274" w:rsidP="00985274">
      <w:pPr>
        <w:pStyle w:val="BodyText"/>
        <w:numPr>
          <w:ilvl w:val="0"/>
          <w:numId w:val="46"/>
        </w:numPr>
        <w:spacing w:before="120" w:after="114"/>
        <w:ind w:left="340" w:hanging="340"/>
        <w:rPr>
          <w:lang w:val="en"/>
        </w:rPr>
      </w:pPr>
      <w:r w:rsidRPr="0011310A">
        <w:rPr>
          <w:lang w:val="en"/>
        </w:rPr>
        <w:t xml:space="preserve">The </w:t>
      </w:r>
      <w:r>
        <w:rPr>
          <w:lang w:val="en"/>
        </w:rPr>
        <w:t xml:space="preserve">panel of expert advisors is being established </w:t>
      </w:r>
      <w:r w:rsidRPr="00BD26DB">
        <w:rPr>
          <w:lang w:val="en"/>
        </w:rPr>
        <w:t xml:space="preserve">to ensure that </w:t>
      </w:r>
      <w:r>
        <w:rPr>
          <w:lang w:val="en"/>
        </w:rPr>
        <w:t>the</w:t>
      </w:r>
      <w:r w:rsidRPr="00BD26DB">
        <w:rPr>
          <w:lang w:val="en"/>
        </w:rPr>
        <w:t xml:space="preserve"> work of the </w:t>
      </w:r>
      <w:r>
        <w:rPr>
          <w:lang w:val="en"/>
        </w:rPr>
        <w:t xml:space="preserve">Parliamentary Budget Office (PBO) is of the </w:t>
      </w:r>
      <w:r w:rsidRPr="00BD26DB">
        <w:rPr>
          <w:lang w:val="en"/>
        </w:rPr>
        <w:t>highest analytical quality</w:t>
      </w:r>
      <w:r>
        <w:rPr>
          <w:lang w:val="en"/>
        </w:rPr>
        <w:t xml:space="preserve"> and well considered.  It is to be comprised of individuals who have experienc</w:t>
      </w:r>
      <w:r w:rsidR="00B828A4">
        <w:rPr>
          <w:lang w:val="en"/>
        </w:rPr>
        <w:t>e across a broad range of</w:t>
      </w:r>
      <w:r>
        <w:rPr>
          <w:lang w:val="en"/>
        </w:rPr>
        <w:t xml:space="preserve"> areas and are available to be consulted on cross-cutting issues associated with policy costings and fiscal policy analysis</w:t>
      </w:r>
      <w:r w:rsidRPr="0011310A">
        <w:rPr>
          <w:lang w:val="en"/>
        </w:rPr>
        <w:t>.</w:t>
      </w:r>
    </w:p>
    <w:p w:rsidR="00985274" w:rsidRDefault="00985274" w:rsidP="00985274">
      <w:pPr>
        <w:pStyle w:val="Heading2"/>
        <w:rPr>
          <w:lang w:val="en"/>
        </w:rPr>
      </w:pPr>
      <w:r>
        <w:rPr>
          <w:lang w:val="en"/>
        </w:rPr>
        <w:t>Scope</w:t>
      </w:r>
    </w:p>
    <w:p w:rsidR="00985274" w:rsidRPr="00BD26DB" w:rsidRDefault="00985274" w:rsidP="00985274">
      <w:pPr>
        <w:pStyle w:val="BodyText"/>
        <w:numPr>
          <w:ilvl w:val="0"/>
          <w:numId w:val="46"/>
        </w:numPr>
        <w:spacing w:before="120" w:after="114"/>
        <w:ind w:left="340" w:hanging="340"/>
        <w:rPr>
          <w:lang w:val="en"/>
        </w:rPr>
      </w:pPr>
      <w:r>
        <w:rPr>
          <w:lang w:val="en"/>
        </w:rPr>
        <w:t>The panel is responsible for providing expert advice to the PBO, on an as-needs basis, on matters related to policy costings, fiscal policy analysis and the PBO’s research program.</w:t>
      </w:r>
    </w:p>
    <w:p w:rsidR="00985274" w:rsidRDefault="00985274" w:rsidP="00985274">
      <w:pPr>
        <w:pStyle w:val="Heading2"/>
        <w:rPr>
          <w:lang w:val="en"/>
        </w:rPr>
      </w:pPr>
      <w:r>
        <w:rPr>
          <w:lang w:val="en"/>
        </w:rPr>
        <w:t>Panel functions</w:t>
      </w:r>
    </w:p>
    <w:p w:rsidR="00985274" w:rsidRDefault="00985274" w:rsidP="00985274">
      <w:pPr>
        <w:pStyle w:val="BodyText"/>
        <w:numPr>
          <w:ilvl w:val="0"/>
          <w:numId w:val="45"/>
        </w:numPr>
        <w:tabs>
          <w:tab w:val="clear" w:pos="454"/>
        </w:tabs>
        <w:spacing w:before="120" w:after="114"/>
        <w:ind w:left="340" w:hanging="340"/>
        <w:rPr>
          <w:lang w:val="en"/>
        </w:rPr>
      </w:pPr>
      <w:r>
        <w:rPr>
          <w:lang w:val="en"/>
        </w:rPr>
        <w:t>The role of panel members includes:</w:t>
      </w:r>
    </w:p>
    <w:p w:rsidR="00985274" w:rsidRPr="00187A07" w:rsidRDefault="00985274" w:rsidP="00187A07">
      <w:pPr>
        <w:pStyle w:val="ListBullet"/>
      </w:pPr>
      <w:r w:rsidRPr="00187A07">
        <w:t>providing views on the PBO research program, including on how this research program can be structured to most usefully inform the public debate</w:t>
      </w:r>
    </w:p>
    <w:p w:rsidR="00985274" w:rsidRPr="00187A07" w:rsidRDefault="00985274" w:rsidP="00187A07">
      <w:pPr>
        <w:pStyle w:val="ListBullet"/>
      </w:pPr>
      <w:r w:rsidRPr="00187A07">
        <w:t>providing input into the scope of individual pieces of research and reviewing draft reports</w:t>
      </w:r>
    </w:p>
    <w:p w:rsidR="00985274" w:rsidRPr="00187A07" w:rsidRDefault="00985274" w:rsidP="00187A07">
      <w:pPr>
        <w:pStyle w:val="ListBullet"/>
      </w:pPr>
      <w:r w:rsidRPr="00187A07">
        <w:t xml:space="preserve">providing feedback on the guidance and technical material the PBO releases publicly to inform parliamentarians and the public on matters associated with costings and fiscal policy </w:t>
      </w:r>
    </w:p>
    <w:p w:rsidR="00985274" w:rsidRPr="00187A07" w:rsidRDefault="00985274" w:rsidP="00187A07">
      <w:pPr>
        <w:pStyle w:val="ListBullet"/>
      </w:pPr>
      <w:r w:rsidRPr="00187A07">
        <w:t>providing expert advice on specific issues to improve the PBO’s understanding of policy issues, including behavioural responses, and better inform the development of models to cost policy proposals</w:t>
      </w:r>
    </w:p>
    <w:p w:rsidR="00985274" w:rsidRPr="00187A07" w:rsidRDefault="00985274" w:rsidP="00187A07">
      <w:pPr>
        <w:pStyle w:val="ListBullet"/>
      </w:pPr>
      <w:r w:rsidRPr="00187A07">
        <w:t>assisting with the ex-post evaluation of policy costings</w:t>
      </w:r>
    </w:p>
    <w:p w:rsidR="00985274" w:rsidRPr="00187A07" w:rsidRDefault="00985274" w:rsidP="00187A07">
      <w:pPr>
        <w:pStyle w:val="ListBullet"/>
      </w:pPr>
      <w:r w:rsidRPr="00187A07">
        <w:t>referring the PBO to other experts who would be available to assist with specific matters, as required.</w:t>
      </w:r>
    </w:p>
    <w:p w:rsidR="00985274" w:rsidRPr="00AF0489" w:rsidRDefault="00985274" w:rsidP="00985274">
      <w:pPr>
        <w:pStyle w:val="BodyText"/>
        <w:numPr>
          <w:ilvl w:val="0"/>
          <w:numId w:val="45"/>
        </w:numPr>
        <w:tabs>
          <w:tab w:val="clear" w:pos="454"/>
          <w:tab w:val="num" w:pos="907"/>
        </w:tabs>
        <w:spacing w:before="120" w:after="114"/>
        <w:ind w:left="340" w:hanging="340"/>
        <w:rPr>
          <w:lang w:val="en"/>
        </w:rPr>
      </w:pPr>
      <w:r w:rsidRPr="006B42F4">
        <w:rPr>
          <w:lang w:val="en"/>
        </w:rPr>
        <w:t>Panel members</w:t>
      </w:r>
      <w:r>
        <w:rPr>
          <w:lang w:val="en"/>
        </w:rPr>
        <w:t xml:space="preserve"> may be requested to provide advice and assistance on all, or a subset, of the above functions.</w:t>
      </w:r>
    </w:p>
    <w:p w:rsidR="00985274" w:rsidRDefault="00985274" w:rsidP="00985274">
      <w:pPr>
        <w:pStyle w:val="Heading2"/>
        <w:rPr>
          <w:lang w:val="en"/>
        </w:rPr>
      </w:pPr>
      <w:r>
        <w:rPr>
          <w:lang w:val="en"/>
        </w:rPr>
        <w:t>Guiding principles</w:t>
      </w:r>
    </w:p>
    <w:p w:rsidR="00985274" w:rsidRDefault="00985274" w:rsidP="00985274">
      <w:pPr>
        <w:pStyle w:val="BodyText"/>
        <w:numPr>
          <w:ilvl w:val="0"/>
          <w:numId w:val="45"/>
        </w:numPr>
        <w:tabs>
          <w:tab w:val="clear" w:pos="454"/>
        </w:tabs>
        <w:spacing w:before="120" w:after="114"/>
        <w:ind w:left="340" w:hanging="340"/>
      </w:pPr>
      <w:r w:rsidRPr="0011310A">
        <w:t xml:space="preserve">The </w:t>
      </w:r>
      <w:r>
        <w:t>PBO will engage with panel members to better inform internal decisions and deliberations, however final decisions on the scope of the PBO’s research program and all technical issues related to policy costings will remain the responsibility of the Parliamentary Budget Officer.</w:t>
      </w:r>
    </w:p>
    <w:p w:rsidR="00985274" w:rsidRPr="0011310A" w:rsidRDefault="00985274" w:rsidP="00985274">
      <w:pPr>
        <w:pStyle w:val="BodyText"/>
        <w:numPr>
          <w:ilvl w:val="0"/>
          <w:numId w:val="45"/>
        </w:numPr>
        <w:tabs>
          <w:tab w:val="clear" w:pos="454"/>
        </w:tabs>
        <w:spacing w:before="120" w:after="114"/>
        <w:ind w:left="340" w:hanging="340"/>
      </w:pPr>
      <w:r>
        <w:t xml:space="preserve">Panel members will have no direct role in the preparation and provision of policy costings, and the specifics of the confidential policy costing requests, including details of the requester, will not be disclosed to panel members without the explicit consent of the requesting parliamentarian. </w:t>
      </w:r>
    </w:p>
    <w:p w:rsidR="00985274" w:rsidRDefault="00985274" w:rsidP="00985274">
      <w:pPr>
        <w:pStyle w:val="Heading2"/>
        <w:rPr>
          <w:lang w:val="en"/>
        </w:rPr>
      </w:pPr>
      <w:r>
        <w:rPr>
          <w:lang w:val="en"/>
        </w:rPr>
        <w:lastRenderedPageBreak/>
        <w:t>Membership</w:t>
      </w:r>
    </w:p>
    <w:p w:rsidR="00985274" w:rsidRDefault="00985274" w:rsidP="00985274">
      <w:pPr>
        <w:pStyle w:val="BodyText"/>
        <w:numPr>
          <w:ilvl w:val="0"/>
          <w:numId w:val="45"/>
        </w:numPr>
        <w:tabs>
          <w:tab w:val="clear" w:pos="454"/>
        </w:tabs>
        <w:spacing w:before="120" w:after="114"/>
        <w:ind w:left="340" w:hanging="340"/>
      </w:pPr>
      <w:r>
        <w:t xml:space="preserve">Members of the panel will be required to agree their terms of engagement, including confidentiality provisions, and will be required to declare current or potential conflicts of interest. </w:t>
      </w:r>
    </w:p>
    <w:p w:rsidR="00985274" w:rsidRDefault="00985274" w:rsidP="00985274">
      <w:pPr>
        <w:pStyle w:val="BodyText"/>
        <w:numPr>
          <w:ilvl w:val="0"/>
          <w:numId w:val="45"/>
        </w:numPr>
        <w:tabs>
          <w:tab w:val="clear" w:pos="454"/>
        </w:tabs>
        <w:spacing w:before="120" w:after="114"/>
        <w:ind w:left="340" w:hanging="340"/>
      </w:pPr>
      <w:r>
        <w:t>Membership will be for three years, from the date of signing the deed of engagement, and may be extended by mutual agreement.</w:t>
      </w:r>
    </w:p>
    <w:p w:rsidR="00985274" w:rsidRDefault="00985274" w:rsidP="00985274">
      <w:pPr>
        <w:pStyle w:val="BodyText"/>
        <w:numPr>
          <w:ilvl w:val="0"/>
          <w:numId w:val="45"/>
        </w:numPr>
        <w:tabs>
          <w:tab w:val="clear" w:pos="454"/>
        </w:tabs>
        <w:spacing w:before="120" w:after="114"/>
        <w:ind w:left="340" w:hanging="340"/>
      </w:pPr>
      <w:r>
        <w:t xml:space="preserve">Advice from experts will be provided on a pro-bono basis.  The commissioning of any specific pieces of more in-depth analysis from panel members or their affiliates will be managed independently of the panel arrangements.  The PBO will cover reasonable travel costs, if required. </w:t>
      </w:r>
    </w:p>
    <w:p w:rsidR="00985274" w:rsidRDefault="00985274" w:rsidP="00985274">
      <w:pPr>
        <w:pStyle w:val="BodyText"/>
        <w:numPr>
          <w:ilvl w:val="0"/>
          <w:numId w:val="45"/>
        </w:numPr>
        <w:tabs>
          <w:tab w:val="clear" w:pos="454"/>
        </w:tabs>
        <w:spacing w:before="120" w:after="114"/>
        <w:ind w:left="340" w:hanging="340"/>
      </w:pPr>
      <w:r>
        <w:t>Membership of the panel will be published on the PBO website.</w:t>
      </w:r>
    </w:p>
    <w:p w:rsidR="00985274" w:rsidRDefault="00985274" w:rsidP="00985274">
      <w:pPr>
        <w:pStyle w:val="BodyText"/>
        <w:numPr>
          <w:ilvl w:val="0"/>
          <w:numId w:val="45"/>
        </w:numPr>
        <w:tabs>
          <w:tab w:val="clear" w:pos="454"/>
        </w:tabs>
        <w:spacing w:before="120" w:after="114"/>
        <w:ind w:left="340" w:hanging="340"/>
      </w:pPr>
      <w:r>
        <w:t>Additional members may be invited to join the panel over time.</w:t>
      </w:r>
    </w:p>
    <w:p w:rsidR="00985274" w:rsidRPr="00411037" w:rsidRDefault="00985274" w:rsidP="00985274">
      <w:pPr>
        <w:pStyle w:val="Heading2"/>
        <w:rPr>
          <w:lang w:val="en"/>
        </w:rPr>
      </w:pPr>
      <w:r>
        <w:rPr>
          <w:lang w:val="en"/>
        </w:rPr>
        <w:t>Engagement with panel members</w:t>
      </w:r>
    </w:p>
    <w:p w:rsidR="00985274" w:rsidRDefault="00985274" w:rsidP="00985274">
      <w:pPr>
        <w:pStyle w:val="BodyText"/>
        <w:numPr>
          <w:ilvl w:val="0"/>
          <w:numId w:val="45"/>
        </w:numPr>
        <w:tabs>
          <w:tab w:val="clear" w:pos="454"/>
        </w:tabs>
        <w:spacing w:before="120" w:after="114"/>
        <w:ind w:left="340" w:hanging="340"/>
      </w:pPr>
      <w:r>
        <w:t>Engagement with panel members will involve two core activities:</w:t>
      </w:r>
    </w:p>
    <w:p w:rsidR="00985274" w:rsidRDefault="00985274" w:rsidP="00985274">
      <w:pPr>
        <w:pStyle w:val="BodyText"/>
        <w:numPr>
          <w:ilvl w:val="1"/>
          <w:numId w:val="45"/>
        </w:numPr>
        <w:spacing w:before="120" w:after="114"/>
        <w:ind w:left="680" w:hanging="340"/>
      </w:pPr>
      <w:r>
        <w:t>to meet as a group (or otherwise provide input) once per year to provide feedback on research the PBO has completed during the preceding year, provide input into our prospective research program and discuss broad issues faced by the PBO in undertaking its responsibilities, and</w:t>
      </w:r>
    </w:p>
    <w:p w:rsidR="00985274" w:rsidRDefault="00985274" w:rsidP="00985274">
      <w:pPr>
        <w:pStyle w:val="BodyText"/>
        <w:numPr>
          <w:ilvl w:val="1"/>
          <w:numId w:val="45"/>
        </w:numPr>
        <w:spacing w:before="120" w:after="114"/>
        <w:ind w:left="680" w:hanging="340"/>
      </w:pPr>
      <w:r>
        <w:t>to engage with the PBO on a one-on-one basis at the initiative of a senior executive staff member from the PBO to provide advice on a specific technical issue.</w:t>
      </w:r>
    </w:p>
    <w:p w:rsidR="00985274" w:rsidRDefault="00985274" w:rsidP="00985274">
      <w:pPr>
        <w:pStyle w:val="BodyText"/>
        <w:numPr>
          <w:ilvl w:val="0"/>
          <w:numId w:val="45"/>
        </w:numPr>
        <w:tabs>
          <w:tab w:val="clear" w:pos="454"/>
        </w:tabs>
        <w:spacing w:before="120" w:after="114"/>
        <w:ind w:left="340" w:hanging="340"/>
      </w:pPr>
      <w:r>
        <w:t>The PBO may initiate some engagements with a number of panel members together, to gather a range of perspectives on a p</w:t>
      </w:r>
      <w:bookmarkStart w:id="1" w:name="_GoBack"/>
      <w:bookmarkEnd w:id="1"/>
      <w:r>
        <w:t>articular issue.</w:t>
      </w:r>
    </w:p>
    <w:p w:rsidR="00985274" w:rsidRDefault="00985274" w:rsidP="00985274">
      <w:pPr>
        <w:pStyle w:val="BodyText"/>
        <w:numPr>
          <w:ilvl w:val="0"/>
          <w:numId w:val="45"/>
        </w:numPr>
        <w:tabs>
          <w:tab w:val="clear" w:pos="454"/>
        </w:tabs>
        <w:spacing w:before="120" w:after="114"/>
        <w:ind w:left="340" w:hanging="340"/>
      </w:pPr>
      <w:r>
        <w:t>The expectations of a panel member are that up to around 10 hours per year will be devoted to the above activities.  The PBO will endeavour, where possible, to communicate and discuss matters using electronic means (teleconferencing or video conferencing) and to restrict face-to-face meetings.</w:t>
      </w:r>
    </w:p>
    <w:p w:rsidR="00985274" w:rsidRDefault="00985274" w:rsidP="009F59B1">
      <w:pPr>
        <w:spacing w:line="240" w:lineRule="auto"/>
        <w:rPr>
          <w:spacing w:val="-1"/>
          <w:sz w:val="24"/>
        </w:rPr>
      </w:pPr>
    </w:p>
    <w:sectPr w:rsidR="00985274" w:rsidSect="00FA55F3">
      <w:headerReference w:type="default" r:id="rId14"/>
      <w:footerReference w:type="default" r:id="rId15"/>
      <w:headerReference w:type="first" r:id="rId16"/>
      <w:footerReference w:type="first" r:id="rId17"/>
      <w:pgSz w:w="11906" w:h="16838" w:code="9"/>
      <w:pgMar w:top="1134" w:right="1134" w:bottom="567" w:left="1134" w:header="425"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264" w:rsidRDefault="00904264" w:rsidP="00A20802">
      <w:pPr>
        <w:spacing w:line="240" w:lineRule="auto"/>
      </w:pPr>
      <w:r>
        <w:separator/>
      </w:r>
    </w:p>
    <w:p w:rsidR="00904264" w:rsidRDefault="00904264"/>
  </w:endnote>
  <w:endnote w:type="continuationSeparator" w:id="0">
    <w:p w:rsidR="00904264" w:rsidRDefault="00904264" w:rsidP="00A20802">
      <w:pPr>
        <w:spacing w:line="240" w:lineRule="auto"/>
      </w:pPr>
      <w:r>
        <w:continuationSeparator/>
      </w:r>
    </w:p>
    <w:p w:rsidR="00904264" w:rsidRDefault="009042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284" w:vertAnchor="page" w:horzAnchor="margin" w:tblpYSpec="bottom"/>
      <w:tblW w:w="8731" w:type="dxa"/>
      <w:tblLayout w:type="fixed"/>
      <w:tblCellMar>
        <w:top w:w="28" w:type="dxa"/>
        <w:left w:w="0" w:type="dxa"/>
        <w:right w:w="0" w:type="dxa"/>
      </w:tblCellMar>
      <w:tblLook w:val="04A0" w:firstRow="1" w:lastRow="0" w:firstColumn="1" w:lastColumn="0" w:noHBand="0" w:noVBand="1"/>
    </w:tblPr>
    <w:tblGrid>
      <w:gridCol w:w="567"/>
      <w:gridCol w:w="8164"/>
    </w:tblGrid>
    <w:tr w:rsidR="00D53A7C" w:rsidRPr="009D75D4" w:rsidTr="009D75D4">
      <w:trPr>
        <w:trHeight w:val="340"/>
      </w:trPr>
      <w:tc>
        <w:tcPr>
          <w:tcW w:w="567" w:type="dxa"/>
          <w:tcBorders>
            <w:right w:val="single" w:sz="4" w:space="0" w:color="788184"/>
          </w:tcBorders>
          <w:shd w:val="clear" w:color="auto" w:fill="auto"/>
          <w:vAlign w:val="center"/>
        </w:tcPr>
        <w:p w:rsidR="009A02EF" w:rsidRPr="009D75D4" w:rsidRDefault="009A02EF" w:rsidP="009D75D4">
          <w:pPr>
            <w:pStyle w:val="FooterLeftPageNumber"/>
            <w:framePr w:wrap="auto" w:vAnchor="margin" w:hAnchor="text" w:yAlign="inline"/>
            <w:rPr>
              <w:rFonts w:eastAsia="Times New Roman" w:cs="Arial"/>
              <w:lang w:eastAsia="en-AU"/>
            </w:rPr>
          </w:pPr>
          <w:r w:rsidRPr="009D75D4">
            <w:rPr>
              <w:rFonts w:eastAsia="Times New Roman" w:cs="Arial"/>
              <w:lang w:eastAsia="en-AU"/>
            </w:rPr>
            <w:fldChar w:fldCharType="begin"/>
          </w:r>
          <w:r w:rsidRPr="009D75D4">
            <w:rPr>
              <w:rFonts w:eastAsia="Times New Roman" w:cs="Arial"/>
              <w:lang w:eastAsia="en-AU"/>
            </w:rPr>
            <w:instrText xml:space="preserve"> PAGE   \* MERGEFORMAT </w:instrText>
          </w:r>
          <w:r w:rsidRPr="009D75D4">
            <w:rPr>
              <w:rFonts w:eastAsia="Times New Roman" w:cs="Arial"/>
              <w:lang w:eastAsia="en-AU"/>
            </w:rPr>
            <w:fldChar w:fldCharType="separate"/>
          </w:r>
          <w:r w:rsidR="00DA0F39">
            <w:rPr>
              <w:rFonts w:eastAsia="Times New Roman" w:cs="Arial"/>
              <w:noProof/>
              <w:lang w:eastAsia="en-AU"/>
            </w:rPr>
            <w:t>4</w:t>
          </w:r>
          <w:r w:rsidRPr="009D75D4">
            <w:rPr>
              <w:rFonts w:eastAsia="Times New Roman" w:cs="Arial"/>
              <w:lang w:eastAsia="en-AU"/>
            </w:rPr>
            <w:fldChar w:fldCharType="end"/>
          </w:r>
        </w:p>
      </w:tc>
      <w:tc>
        <w:tcPr>
          <w:tcW w:w="8164" w:type="dxa"/>
          <w:tcBorders>
            <w:left w:val="single" w:sz="4" w:space="0" w:color="788184"/>
          </w:tcBorders>
          <w:shd w:val="clear" w:color="auto" w:fill="auto"/>
          <w:vAlign w:val="center"/>
        </w:tcPr>
        <w:p w:rsidR="009A02EF" w:rsidRPr="009D75D4" w:rsidRDefault="009A02EF" w:rsidP="009D75D4">
          <w:pPr>
            <w:pStyle w:val="FooterLeft"/>
            <w:framePr w:wrap="auto" w:vAnchor="margin" w:hAnchor="text" w:yAlign="inline"/>
            <w:rPr>
              <w:rFonts w:eastAsia="Times New Roman" w:cs="Arial"/>
              <w:lang w:eastAsia="en-AU"/>
            </w:rPr>
          </w:pPr>
          <w:r w:rsidRPr="009D75D4">
            <w:rPr>
              <w:rFonts w:eastAsia="Times New Roman" w:cs="Arial"/>
              <w:lang w:eastAsia="en-AU"/>
            </w:rPr>
            <w:fldChar w:fldCharType="begin"/>
          </w:r>
          <w:r w:rsidRPr="009D75D4">
            <w:rPr>
              <w:rFonts w:eastAsia="Times New Roman" w:cs="Arial"/>
              <w:lang w:eastAsia="en-AU"/>
            </w:rPr>
            <w:instrText xml:space="preserve"> STYLEREF  Title  \* MERGEFORMAT </w:instrText>
          </w:r>
          <w:r w:rsidRPr="009D75D4">
            <w:rPr>
              <w:rFonts w:eastAsia="Times New Roman" w:cs="Arial"/>
              <w:lang w:eastAsia="en-AU"/>
            </w:rPr>
            <w:fldChar w:fldCharType="separate"/>
          </w:r>
          <w:r w:rsidR="00DA0F39">
            <w:rPr>
              <w:rFonts w:eastAsia="Times New Roman" w:cs="Arial"/>
              <w:b/>
              <w:bCs/>
              <w:noProof/>
              <w:lang w:val="en-US" w:eastAsia="en-AU"/>
            </w:rPr>
            <w:t>Error! No text of specified style in document.</w:t>
          </w:r>
          <w:r w:rsidRPr="009D75D4">
            <w:rPr>
              <w:rFonts w:eastAsia="Times New Roman" w:cs="Arial"/>
              <w:noProof/>
              <w:lang w:eastAsia="en-AU"/>
            </w:rPr>
            <w:fldChar w:fldCharType="end"/>
          </w:r>
        </w:p>
      </w:tc>
    </w:tr>
    <w:tr w:rsidR="009A02EF" w:rsidRPr="009D75D4" w:rsidTr="009D75D4">
      <w:trPr>
        <w:trHeight w:hRule="exact" w:val="403"/>
      </w:trPr>
      <w:tc>
        <w:tcPr>
          <w:tcW w:w="567" w:type="dxa"/>
          <w:shd w:val="clear" w:color="auto" w:fill="auto"/>
          <w:tcMar>
            <w:bottom w:w="284" w:type="dxa"/>
          </w:tcMar>
        </w:tcPr>
        <w:p w:rsidR="009A02EF" w:rsidRPr="009D75D4" w:rsidRDefault="009A02EF" w:rsidP="00C80200">
          <w:pPr>
            <w:pStyle w:val="FooterRightPageNumber"/>
            <w:rPr>
              <w:rFonts w:eastAsia="Times New Roman" w:cs="Arial"/>
              <w:lang w:eastAsia="en-AU"/>
            </w:rPr>
          </w:pPr>
        </w:p>
      </w:tc>
      <w:tc>
        <w:tcPr>
          <w:tcW w:w="8164" w:type="dxa"/>
          <w:shd w:val="clear" w:color="auto" w:fill="auto"/>
          <w:tcMar>
            <w:bottom w:w="284" w:type="dxa"/>
          </w:tcMar>
        </w:tcPr>
        <w:p w:rsidR="009A02EF" w:rsidRPr="009D75D4" w:rsidRDefault="009A02EF" w:rsidP="00C80200">
          <w:pPr>
            <w:rPr>
              <w:rFonts w:eastAsia="Times New Roman" w:cs="Arial"/>
              <w:lang w:eastAsia="en-AU"/>
            </w:rPr>
          </w:pPr>
        </w:p>
      </w:tc>
    </w:tr>
  </w:tbl>
  <w:p w:rsidR="009A02EF" w:rsidRDefault="009A02EF">
    <w:pPr>
      <w:pStyle w:val="Footer"/>
    </w:pPr>
  </w:p>
  <w:p w:rsidR="009A02EF" w:rsidRPr="004816D7" w:rsidRDefault="009A02EF" w:rsidP="004816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6E" w:rsidRPr="009A02EF" w:rsidRDefault="00064E89" w:rsidP="00064E89">
    <w:pPr>
      <w:pStyle w:val="Footer"/>
    </w:pPr>
    <w:r w:rsidRPr="00064E89">
      <w:t xml:space="preserve">Page </w:t>
    </w:r>
    <w:r w:rsidRPr="00064E89">
      <w:fldChar w:fldCharType="begin"/>
    </w:r>
    <w:r w:rsidRPr="00064E89">
      <w:instrText xml:space="preserve"> PAGE </w:instrText>
    </w:r>
    <w:r w:rsidRPr="00064E89">
      <w:fldChar w:fldCharType="separate"/>
    </w:r>
    <w:r w:rsidR="00DA0F39">
      <w:rPr>
        <w:noProof/>
      </w:rPr>
      <w:t>4</w:t>
    </w:r>
    <w:r w:rsidRPr="00064E89">
      <w:fldChar w:fldCharType="end"/>
    </w:r>
    <w:r w:rsidRPr="00064E89">
      <w:t xml:space="preserve"> of </w:t>
    </w:r>
    <w:r w:rsidR="009808F5">
      <w:fldChar w:fldCharType="begin"/>
    </w:r>
    <w:r w:rsidR="009808F5">
      <w:instrText xml:space="preserve"> NUMPAGES  </w:instrText>
    </w:r>
    <w:r w:rsidR="009808F5">
      <w:fldChar w:fldCharType="separate"/>
    </w:r>
    <w:r w:rsidR="00DA0F39">
      <w:rPr>
        <w:noProof/>
      </w:rPr>
      <w:t>4</w:t>
    </w:r>
    <w:r w:rsidR="009808F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EF" w:rsidRPr="00D36366" w:rsidRDefault="009A02EF" w:rsidP="009A02EF">
    <w:pPr>
      <w:pStyle w:val="Footer"/>
      <w:rPr>
        <w:rFonts w:asciiTheme="minorHAnsi" w:hAnsiTheme="minorHAnsi"/>
        <w:sz w:val="19"/>
        <w:szCs w:val="19"/>
      </w:rPr>
    </w:pPr>
    <w:r w:rsidRPr="00D36366">
      <w:rPr>
        <w:rFonts w:asciiTheme="minorHAnsi" w:hAnsiTheme="minorHAnsi"/>
        <w:sz w:val="19"/>
        <w:szCs w:val="19"/>
      </w:rPr>
      <w:t>Parliamentary Budget Office   PO Box 6010   Parliament House   Canberra ACT 2600</w:t>
    </w:r>
  </w:p>
  <w:p w:rsidR="009A02EF" w:rsidRPr="00D36366" w:rsidRDefault="009A02EF" w:rsidP="009A02EF">
    <w:pPr>
      <w:pStyle w:val="Footer"/>
      <w:rPr>
        <w:rFonts w:asciiTheme="minorHAnsi" w:hAnsiTheme="minorHAnsi"/>
        <w:sz w:val="19"/>
        <w:szCs w:val="19"/>
      </w:rPr>
    </w:pPr>
    <w:r w:rsidRPr="00D36366">
      <w:rPr>
        <w:rFonts w:asciiTheme="minorHAnsi" w:hAnsiTheme="minorHAnsi"/>
        <w:sz w:val="19"/>
        <w:szCs w:val="19"/>
      </w:rPr>
      <w:t>Tel: 02 6277 9500   Web: www.pbo.gov.au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74" w:rsidRPr="00985274" w:rsidRDefault="00985274" w:rsidP="00985274">
    <w:pPr>
      <w:pStyle w:val="Footer"/>
      <w:spacing w:before="0" w:after="0"/>
      <w:rPr>
        <w:sz w:val="20"/>
        <w:szCs w:val="20"/>
      </w:rPr>
    </w:pPr>
    <w:r w:rsidRPr="00985274">
      <w:rPr>
        <w:sz w:val="20"/>
        <w:szCs w:val="20"/>
      </w:rPr>
      <w:t xml:space="preserve">Page </w:t>
    </w:r>
    <w:r w:rsidRPr="00985274">
      <w:rPr>
        <w:sz w:val="20"/>
        <w:szCs w:val="20"/>
      </w:rPr>
      <w:fldChar w:fldCharType="begin"/>
    </w:r>
    <w:r w:rsidRPr="00985274">
      <w:rPr>
        <w:sz w:val="20"/>
        <w:szCs w:val="20"/>
      </w:rPr>
      <w:instrText xml:space="preserve"> PAGE </w:instrText>
    </w:r>
    <w:r w:rsidRPr="00985274">
      <w:rPr>
        <w:sz w:val="20"/>
        <w:szCs w:val="20"/>
      </w:rPr>
      <w:fldChar w:fldCharType="separate"/>
    </w:r>
    <w:r w:rsidR="009808F5">
      <w:rPr>
        <w:noProof/>
        <w:sz w:val="20"/>
        <w:szCs w:val="20"/>
      </w:rPr>
      <w:t>4</w:t>
    </w:r>
    <w:r w:rsidRPr="00985274">
      <w:rPr>
        <w:sz w:val="20"/>
        <w:szCs w:val="20"/>
      </w:rPr>
      <w:fldChar w:fldCharType="end"/>
    </w:r>
    <w:r w:rsidRPr="00985274">
      <w:rPr>
        <w:sz w:val="20"/>
        <w:szCs w:val="20"/>
      </w:rPr>
      <w:t xml:space="preserve"> of </w:t>
    </w:r>
    <w:r w:rsidRPr="00985274">
      <w:rPr>
        <w:sz w:val="20"/>
        <w:szCs w:val="20"/>
      </w:rPr>
      <w:fldChar w:fldCharType="begin"/>
    </w:r>
    <w:r w:rsidRPr="00985274">
      <w:rPr>
        <w:sz w:val="20"/>
        <w:szCs w:val="20"/>
      </w:rPr>
      <w:instrText xml:space="preserve"> NUMPAGES  </w:instrText>
    </w:r>
    <w:r w:rsidRPr="00985274">
      <w:rPr>
        <w:sz w:val="20"/>
        <w:szCs w:val="20"/>
      </w:rPr>
      <w:fldChar w:fldCharType="separate"/>
    </w:r>
    <w:r w:rsidR="009808F5">
      <w:rPr>
        <w:noProof/>
        <w:sz w:val="20"/>
        <w:szCs w:val="20"/>
      </w:rPr>
      <w:t>4</w:t>
    </w:r>
    <w:r w:rsidRPr="00985274">
      <w:rPr>
        <w:noProof/>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74" w:rsidRPr="00985274" w:rsidRDefault="00985274" w:rsidP="00985274">
    <w:pPr>
      <w:pStyle w:val="Footer"/>
      <w:spacing w:before="0" w:after="0"/>
      <w:rPr>
        <w:sz w:val="20"/>
        <w:szCs w:val="20"/>
      </w:rPr>
    </w:pPr>
    <w:r w:rsidRPr="00985274">
      <w:rPr>
        <w:sz w:val="20"/>
        <w:szCs w:val="20"/>
      </w:rPr>
      <w:t xml:space="preserve">Page </w:t>
    </w:r>
    <w:r w:rsidRPr="00985274">
      <w:rPr>
        <w:sz w:val="20"/>
        <w:szCs w:val="20"/>
      </w:rPr>
      <w:fldChar w:fldCharType="begin"/>
    </w:r>
    <w:r w:rsidRPr="00985274">
      <w:rPr>
        <w:sz w:val="20"/>
        <w:szCs w:val="20"/>
      </w:rPr>
      <w:instrText xml:space="preserve"> PAGE </w:instrText>
    </w:r>
    <w:r w:rsidRPr="00985274">
      <w:rPr>
        <w:sz w:val="20"/>
        <w:szCs w:val="20"/>
      </w:rPr>
      <w:fldChar w:fldCharType="separate"/>
    </w:r>
    <w:r w:rsidR="009808F5">
      <w:rPr>
        <w:noProof/>
        <w:sz w:val="20"/>
        <w:szCs w:val="20"/>
      </w:rPr>
      <w:t>2</w:t>
    </w:r>
    <w:r w:rsidRPr="00985274">
      <w:rPr>
        <w:sz w:val="20"/>
        <w:szCs w:val="20"/>
      </w:rPr>
      <w:fldChar w:fldCharType="end"/>
    </w:r>
    <w:r w:rsidRPr="00985274">
      <w:rPr>
        <w:sz w:val="20"/>
        <w:szCs w:val="20"/>
      </w:rPr>
      <w:t xml:space="preserve"> of </w:t>
    </w:r>
    <w:r w:rsidRPr="00985274">
      <w:rPr>
        <w:sz w:val="20"/>
        <w:szCs w:val="20"/>
      </w:rPr>
      <w:fldChar w:fldCharType="begin"/>
    </w:r>
    <w:r w:rsidRPr="00985274">
      <w:rPr>
        <w:sz w:val="20"/>
        <w:szCs w:val="20"/>
      </w:rPr>
      <w:instrText xml:space="preserve"> NUMPAGES  </w:instrText>
    </w:r>
    <w:r w:rsidRPr="00985274">
      <w:rPr>
        <w:sz w:val="20"/>
        <w:szCs w:val="20"/>
      </w:rPr>
      <w:fldChar w:fldCharType="separate"/>
    </w:r>
    <w:r w:rsidR="009808F5">
      <w:rPr>
        <w:noProof/>
        <w:sz w:val="20"/>
        <w:szCs w:val="20"/>
      </w:rPr>
      <w:t>4</w:t>
    </w:r>
    <w:r w:rsidRPr="0098527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264" w:rsidRPr="000557A7" w:rsidRDefault="00904264" w:rsidP="008D5A11">
      <w:pPr>
        <w:pBdr>
          <w:top w:val="single" w:sz="4" w:space="1" w:color="auto"/>
        </w:pBdr>
        <w:spacing w:before="240" w:line="60" w:lineRule="exact"/>
        <w:rPr>
          <w:sz w:val="16"/>
          <w:szCs w:val="16"/>
        </w:rPr>
      </w:pPr>
    </w:p>
  </w:footnote>
  <w:footnote w:type="continuationSeparator" w:id="0">
    <w:p w:rsidR="00904264" w:rsidRDefault="00904264" w:rsidP="00A20802">
      <w:pPr>
        <w:spacing w:line="240" w:lineRule="auto"/>
      </w:pPr>
      <w:r>
        <w:continuationSeparator/>
      </w:r>
    </w:p>
    <w:p w:rsidR="00904264" w:rsidRDefault="009042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EF" w:rsidRDefault="00D53A7C" w:rsidP="00D36366">
    <w:pPr>
      <w:pStyle w:val="Header"/>
    </w:pPr>
    <w:r>
      <w:rPr>
        <w:noProof/>
        <w:lang w:eastAsia="en-AU"/>
      </w:rPr>
      <mc:AlternateContent>
        <mc:Choice Requires="wps">
          <w:drawing>
            <wp:anchor distT="0" distB="0" distL="114300" distR="114300" simplePos="0" relativeHeight="251699200" behindDoc="1" locked="1" layoutInCell="1" allowOverlap="1" wp14:anchorId="357FA3FD" wp14:editId="7CC2F247">
              <wp:simplePos x="0" y="0"/>
              <wp:positionH relativeFrom="page">
                <wp:align>center</wp:align>
              </wp:positionH>
              <wp:positionV relativeFrom="page">
                <wp:align>center</wp:align>
              </wp:positionV>
              <wp:extent cx="7560310" cy="1796415"/>
              <wp:effectExtent l="0" t="0" r="0" b="0"/>
              <wp:wrapNone/>
              <wp:docPr id="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79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2EF" w:rsidRPr="0001226A" w:rsidRDefault="009A02EF"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0;margin-top:0;width:595.3pt;height:141.45pt;z-index:-2516172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uMtwIAALw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" filled="f" stroked="f">
              <v:textbox>
                <w:txbxContent>
                  <w:p w:rsidR="009A02EF" w:rsidRPr="0001226A" w:rsidRDefault="009A02EF"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EF" w:rsidRDefault="00D53A7C" w:rsidP="009A02EF">
    <w:r>
      <w:rPr>
        <w:noProof/>
        <w:lang w:eastAsia="en-AU"/>
      </w:rPr>
      <w:drawing>
        <wp:inline distT="0" distB="0" distL="0" distR="0" wp14:anchorId="5DD59809" wp14:editId="6636700D">
          <wp:extent cx="2698115" cy="575945"/>
          <wp:effectExtent l="0" t="0" r="698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8115" cy="575945"/>
                  </a:xfrm>
                  <a:prstGeom prst="rect">
                    <a:avLst/>
                  </a:prstGeom>
                  <a:noFill/>
                  <a:ln>
                    <a:noFill/>
                  </a:ln>
                </pic:spPr>
              </pic:pic>
            </a:graphicData>
          </a:graphic>
        </wp:inline>
      </w:drawing>
    </w:r>
  </w:p>
  <w:p w:rsidR="009A02EF" w:rsidRPr="00D36366" w:rsidRDefault="0081210D" w:rsidP="00985274">
    <w:pPr>
      <w:pStyle w:val="Header"/>
      <w:spacing w:after="600"/>
    </w:pPr>
    <w:r w:rsidRPr="00D36366">
      <w:t>Jenny Wilkinson</w:t>
    </w:r>
    <w:r w:rsidR="009A02EF" w:rsidRPr="00D36366">
      <w:br/>
      <w:t>Parliamentary Budget Officer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74" w:rsidRPr="00985274" w:rsidRDefault="00985274" w:rsidP="00985274">
    <w:pPr>
      <w:pStyle w:val="Header"/>
      <w:spacing w:before="0"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74" w:rsidRDefault="00985274" w:rsidP="009A02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8303A82"/>
    <w:lvl w:ilvl="0">
      <w:start w:val="1"/>
      <w:numFmt w:val="decimal"/>
      <w:lvlText w:val="%1."/>
      <w:lvlJc w:val="left"/>
      <w:pPr>
        <w:tabs>
          <w:tab w:val="num" w:pos="926"/>
        </w:tabs>
        <w:ind w:left="926" w:hanging="360"/>
      </w:pPr>
    </w:lvl>
  </w:abstractNum>
  <w:abstractNum w:abstractNumId="1">
    <w:nsid w:val="FFFFFF7F"/>
    <w:multiLevelType w:val="singleLevel"/>
    <w:tmpl w:val="4EB87814"/>
    <w:lvl w:ilvl="0">
      <w:start w:val="1"/>
      <w:numFmt w:val="decimal"/>
      <w:lvlText w:val="%1."/>
      <w:lvlJc w:val="left"/>
      <w:pPr>
        <w:tabs>
          <w:tab w:val="num" w:pos="643"/>
        </w:tabs>
        <w:ind w:left="643" w:hanging="360"/>
      </w:pPr>
    </w:lvl>
  </w:abstractNum>
  <w:abstractNum w:abstractNumId="2">
    <w:nsid w:val="FFFFFF82"/>
    <w:multiLevelType w:val="singleLevel"/>
    <w:tmpl w:val="37844A8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E30B580"/>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EFB6BBE4"/>
    <w:lvl w:ilvl="0">
      <w:start w:val="1"/>
      <w:numFmt w:val="decimal"/>
      <w:lvlText w:val="%1."/>
      <w:lvlJc w:val="left"/>
      <w:pPr>
        <w:tabs>
          <w:tab w:val="num" w:pos="360"/>
        </w:tabs>
        <w:ind w:left="360" w:hanging="360"/>
      </w:pPr>
    </w:lvl>
  </w:abstractNum>
  <w:abstractNum w:abstractNumId="5">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6">
    <w:nsid w:val="068B37FE"/>
    <w:multiLevelType w:val="multilevel"/>
    <w:tmpl w:val="136EB8D2"/>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nsid w:val="0D745448"/>
    <w:multiLevelType w:val="multilevel"/>
    <w:tmpl w:val="9AF8BB2C"/>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8">
    <w:nsid w:val="0FB2573F"/>
    <w:multiLevelType w:val="multilevel"/>
    <w:tmpl w:val="93FEDA8E"/>
    <w:name w:val="TableFootnotes"/>
    <w:lvl w:ilvl="0">
      <w:start w:val="1"/>
      <w:numFmt w:val="decimal"/>
      <w:pStyle w:val="TableFootnotes"/>
      <w:lvlText w:val="%1"/>
      <w:lvlJc w:val="left"/>
      <w:pPr>
        <w:ind w:left="227" w:hanging="227"/>
      </w:pPr>
      <w:rPr>
        <w:rFonts w:hint="default"/>
        <w:color w:val="788184"/>
        <w:spacing w:val="0"/>
        <w:sz w:val="20"/>
        <w:vertAlign w:val="superscript"/>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9">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0">
    <w:nsid w:val="22D045EF"/>
    <w:multiLevelType w:val="multilevel"/>
    <w:tmpl w:val="D34CA962"/>
    <w:lvl w:ilvl="0">
      <w:start w:val="1"/>
      <w:numFmt w:val="bullet"/>
      <w:lvlText w:val=""/>
      <w:lvlJc w:val="left"/>
      <w:pPr>
        <w:tabs>
          <w:tab w:val="num" w:pos="340"/>
        </w:tabs>
        <w:ind w:left="340" w:hanging="340"/>
      </w:pPr>
      <w:rPr>
        <w:rFonts w:ascii="Symbol" w:hAnsi="Symbol" w:hint="default"/>
        <w:b w:val="0"/>
        <w:i w:val="0"/>
        <w:color w:val="auto"/>
        <w:position w:val="2"/>
        <w:sz w:val="16"/>
      </w:rPr>
    </w:lvl>
    <w:lvl w:ilvl="1">
      <w:start w:val="1"/>
      <w:numFmt w:val="bullet"/>
      <w:lvlText w:val=""/>
      <w:lvlJc w:val="left"/>
      <w:pPr>
        <w:tabs>
          <w:tab w:val="num" w:pos="851"/>
        </w:tabs>
        <w:ind w:left="851" w:hanging="426"/>
      </w:pPr>
      <w:rPr>
        <w:rFonts w:ascii="Webdings" w:hAnsi="Webdings" w:hint="default"/>
        <w:b w:val="0"/>
        <w:i w:val="0"/>
        <w:color w:val="auto"/>
        <w:position w:val="2"/>
        <w:sz w:val="18"/>
      </w:rPr>
    </w:lvl>
    <w:lvl w:ilvl="2">
      <w:start w:val="1"/>
      <w:numFmt w:val="bullet"/>
      <w:lvlText w:val="–"/>
      <w:lvlJc w:val="left"/>
      <w:pPr>
        <w:tabs>
          <w:tab w:val="num" w:pos="1276"/>
        </w:tabs>
        <w:ind w:left="1276" w:hanging="425"/>
      </w:pPr>
      <w:rPr>
        <w:rFonts w:ascii="Arial" w:hAnsi="Arial" w:hint="default"/>
        <w:b w:val="0"/>
        <w:i w:val="0"/>
        <w:spacing w:val="0"/>
        <w:w w:val="100"/>
        <w:position w:val="4"/>
        <w:sz w:val="20"/>
        <w:szCs w:val="16"/>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nsid w:val="22FF4B3D"/>
    <w:multiLevelType w:val="multilevel"/>
    <w:tmpl w:val="76146D64"/>
    <w:name w:val="items"/>
    <w:lvl w:ilvl="0">
      <w:start w:val="1"/>
      <w:numFmt w:val="decimal"/>
      <w:lvlRestart w:val="0"/>
      <w:lvlText w:val="%1"/>
      <w:lvlJc w:val="left"/>
      <w:pPr>
        <w:tabs>
          <w:tab w:val="num" w:pos="454"/>
        </w:tabs>
        <w:ind w:left="454" w:hanging="454"/>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5D0540A9"/>
    <w:multiLevelType w:val="multilevel"/>
    <w:tmpl w:val="DC0A2C7C"/>
    <w:name w:val="AppendicesNumbering"/>
    <w:lvl w:ilvl="0">
      <w:start w:val="1"/>
      <w:numFmt w:val="upperLetter"/>
      <w:lvlRestart w:val="0"/>
      <w:pStyle w:val="Heading8"/>
      <w:suff w:val="space"/>
      <w:lvlText w:val="Appendix %1"/>
      <w:lvlJc w:val="left"/>
      <w:pPr>
        <w:ind w:left="0" w:firstLine="0"/>
      </w:pPr>
      <w:rPr>
        <w:rFonts w:hint="default"/>
        <w:b w:val="0"/>
        <w:i w:val="0"/>
        <w:sz w:val="40"/>
      </w:rPr>
    </w:lvl>
    <w:lvl w:ilvl="1">
      <w:start w:val="1"/>
      <w:numFmt w:val="none"/>
      <w:pStyle w:val="Heading9"/>
      <w:suff w:val="nothing"/>
      <w:lvlText w:val=""/>
      <w:lvlJc w:val="left"/>
      <w:pPr>
        <w:tabs>
          <w:tab w:val="num" w:pos="0"/>
        </w:tabs>
        <w:ind w:left="0" w:firstLine="0"/>
      </w:pPr>
      <w:rPr>
        <w:rFonts w:hint="default"/>
        <w:sz w:val="26"/>
      </w:rPr>
    </w:lvl>
    <w:lvl w:ilvl="2">
      <w:start w:val="1"/>
      <w:numFmt w:val="none"/>
      <w:pStyle w:val="AppendixHeading2"/>
      <w:suff w:val="nothing"/>
      <w:lvlText w:val=""/>
      <w:lvlJc w:val="left"/>
      <w:pPr>
        <w:tabs>
          <w:tab w:val="num" w:pos="0"/>
        </w:tabs>
        <w:ind w:left="0" w:firstLine="0"/>
      </w:pPr>
      <w:rPr>
        <w:rFonts w:hint="default"/>
      </w:rPr>
    </w:lvl>
    <w:lvl w:ilvl="3">
      <w:start w:val="1"/>
      <w:numFmt w:val="none"/>
      <w:lvlRestart w:val="2"/>
      <w:pStyle w:val="Appendix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15">
    <w:nsid w:val="64722655"/>
    <w:multiLevelType w:val="hybridMultilevel"/>
    <w:tmpl w:val="E416B122"/>
    <w:lvl w:ilvl="0" w:tplc="F4200B9C">
      <w:start w:val="1"/>
      <w:numFmt w:val="bullet"/>
      <w:lvlText w:val=""/>
      <w:lvlJc w:val="left"/>
      <w:pPr>
        <w:ind w:left="360" w:hanging="360"/>
      </w:pPr>
      <w:rPr>
        <w:rFonts w:ascii="Symbol" w:hAnsi="Symbol" w:hint="default"/>
        <w:color w:val="2B3B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8">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4"/>
  </w:num>
  <w:num w:numId="2">
    <w:abstractNumId w:val="14"/>
  </w:num>
  <w:num w:numId="3">
    <w:abstractNumId w:val="14"/>
  </w:num>
  <w:num w:numId="4">
    <w:abstractNumId w:val="14"/>
  </w:num>
  <w:num w:numId="5">
    <w:abstractNumId w:val="5"/>
  </w:num>
  <w:num w:numId="6">
    <w:abstractNumId w:val="6"/>
  </w:num>
  <w:num w:numId="7">
    <w:abstractNumId w:val="3"/>
  </w:num>
  <w:num w:numId="8">
    <w:abstractNumId w:val="6"/>
  </w:num>
  <w:num w:numId="9">
    <w:abstractNumId w:val="2"/>
  </w:num>
  <w:num w:numId="10">
    <w:abstractNumId w:val="6"/>
  </w:num>
  <w:num w:numId="11">
    <w:abstractNumId w:val="4"/>
  </w:num>
  <w:num w:numId="12">
    <w:abstractNumId w:val="18"/>
  </w:num>
  <w:num w:numId="13">
    <w:abstractNumId w:val="1"/>
  </w:num>
  <w:num w:numId="14">
    <w:abstractNumId w:val="18"/>
  </w:num>
  <w:num w:numId="15">
    <w:abstractNumId w:val="0"/>
  </w:num>
  <w:num w:numId="16">
    <w:abstractNumId w:val="18"/>
  </w:num>
  <w:num w:numId="17">
    <w:abstractNumId w:val="13"/>
  </w:num>
  <w:num w:numId="18">
    <w:abstractNumId w:val="13"/>
  </w:num>
  <w:num w:numId="19">
    <w:abstractNumId w:val="13"/>
  </w:num>
  <w:num w:numId="20">
    <w:abstractNumId w:val="12"/>
  </w:num>
  <w:num w:numId="21">
    <w:abstractNumId w:val="12"/>
  </w:num>
  <w:num w:numId="22">
    <w:abstractNumId w:val="12"/>
  </w:num>
  <w:num w:numId="23">
    <w:abstractNumId w:val="17"/>
  </w:num>
  <w:num w:numId="24">
    <w:abstractNumId w:val="17"/>
  </w:num>
  <w:num w:numId="25">
    <w:abstractNumId w:val="8"/>
  </w:num>
  <w:num w:numId="26">
    <w:abstractNumId w:val="9"/>
  </w:num>
  <w:num w:numId="27">
    <w:abstractNumId w:val="9"/>
  </w:num>
  <w:num w:numId="28">
    <w:abstractNumId w:val="9"/>
  </w:num>
  <w:num w:numId="29">
    <w:abstractNumId w:val="16"/>
  </w:num>
  <w:num w:numId="30">
    <w:abstractNumId w:val="16"/>
  </w:num>
  <w:num w:numId="31">
    <w:abstractNumId w:val="16"/>
  </w:num>
  <w:num w:numId="32">
    <w:abstractNumId w:val="10"/>
  </w:num>
  <w:num w:numId="33">
    <w:abstractNumId w:val="7"/>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1"/>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ame" w:val="Appendix"/>
    <w:docVar w:name="Disclaimer" w:val="False"/>
    <w:docVar w:name="Foreword" w:val="Fals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False"/>
    <w:docVar w:name="TOCNew" w:val="True"/>
    <w:docVar w:name="Version" w:val="Version 1"/>
  </w:docVars>
  <w:rsids>
    <w:rsidRoot w:val="00904264"/>
    <w:rsid w:val="0000322C"/>
    <w:rsid w:val="00003CDD"/>
    <w:rsid w:val="000168A7"/>
    <w:rsid w:val="000278D0"/>
    <w:rsid w:val="00027E62"/>
    <w:rsid w:val="000307C8"/>
    <w:rsid w:val="00030F73"/>
    <w:rsid w:val="00035ADE"/>
    <w:rsid w:val="00041249"/>
    <w:rsid w:val="0004224B"/>
    <w:rsid w:val="00046226"/>
    <w:rsid w:val="0005330D"/>
    <w:rsid w:val="000557A7"/>
    <w:rsid w:val="00055805"/>
    <w:rsid w:val="00056CB3"/>
    <w:rsid w:val="00064E6C"/>
    <w:rsid w:val="00064E89"/>
    <w:rsid w:val="00067A28"/>
    <w:rsid w:val="0007260F"/>
    <w:rsid w:val="000805D5"/>
    <w:rsid w:val="0008103B"/>
    <w:rsid w:val="00085F97"/>
    <w:rsid w:val="00092A33"/>
    <w:rsid w:val="000A2FEC"/>
    <w:rsid w:val="000A348F"/>
    <w:rsid w:val="000B6942"/>
    <w:rsid w:val="000C09FA"/>
    <w:rsid w:val="000C37A9"/>
    <w:rsid w:val="000C6728"/>
    <w:rsid w:val="000C702E"/>
    <w:rsid w:val="000D15E9"/>
    <w:rsid w:val="000D3182"/>
    <w:rsid w:val="000D45C4"/>
    <w:rsid w:val="000E18F3"/>
    <w:rsid w:val="000E266E"/>
    <w:rsid w:val="000F1515"/>
    <w:rsid w:val="000F16B5"/>
    <w:rsid w:val="000F616E"/>
    <w:rsid w:val="00110D43"/>
    <w:rsid w:val="001159EA"/>
    <w:rsid w:val="00125410"/>
    <w:rsid w:val="00130858"/>
    <w:rsid w:val="00136C26"/>
    <w:rsid w:val="00137ABB"/>
    <w:rsid w:val="0014059F"/>
    <w:rsid w:val="00141551"/>
    <w:rsid w:val="001417CE"/>
    <w:rsid w:val="0014479F"/>
    <w:rsid w:val="00154DC5"/>
    <w:rsid w:val="00160C8D"/>
    <w:rsid w:val="001629C0"/>
    <w:rsid w:val="00165122"/>
    <w:rsid w:val="00165854"/>
    <w:rsid w:val="00173DFD"/>
    <w:rsid w:val="00180FF9"/>
    <w:rsid w:val="00187A07"/>
    <w:rsid w:val="00194316"/>
    <w:rsid w:val="00195228"/>
    <w:rsid w:val="00195696"/>
    <w:rsid w:val="00196532"/>
    <w:rsid w:val="001A1EFC"/>
    <w:rsid w:val="001A48EF"/>
    <w:rsid w:val="001A49CC"/>
    <w:rsid w:val="001A5553"/>
    <w:rsid w:val="001A716E"/>
    <w:rsid w:val="001B2C65"/>
    <w:rsid w:val="001B7058"/>
    <w:rsid w:val="001C3A4F"/>
    <w:rsid w:val="001C4121"/>
    <w:rsid w:val="001C48DE"/>
    <w:rsid w:val="001D52E3"/>
    <w:rsid w:val="001D576F"/>
    <w:rsid w:val="001D7C29"/>
    <w:rsid w:val="001E0475"/>
    <w:rsid w:val="001F5C90"/>
    <w:rsid w:val="001F767C"/>
    <w:rsid w:val="00210FCF"/>
    <w:rsid w:val="00222EFF"/>
    <w:rsid w:val="002240D5"/>
    <w:rsid w:val="002261A7"/>
    <w:rsid w:val="00226AEC"/>
    <w:rsid w:val="002545F3"/>
    <w:rsid w:val="0026344F"/>
    <w:rsid w:val="00266A17"/>
    <w:rsid w:val="00267260"/>
    <w:rsid w:val="00270372"/>
    <w:rsid w:val="00275534"/>
    <w:rsid w:val="00277075"/>
    <w:rsid w:val="002775D2"/>
    <w:rsid w:val="00281ADD"/>
    <w:rsid w:val="00286856"/>
    <w:rsid w:val="00293E0D"/>
    <w:rsid w:val="00293E80"/>
    <w:rsid w:val="002973B0"/>
    <w:rsid w:val="00297C14"/>
    <w:rsid w:val="002A220F"/>
    <w:rsid w:val="002A24F1"/>
    <w:rsid w:val="002A5778"/>
    <w:rsid w:val="002B1E84"/>
    <w:rsid w:val="002B2085"/>
    <w:rsid w:val="002B3EC4"/>
    <w:rsid w:val="002C37D5"/>
    <w:rsid w:val="002D34DB"/>
    <w:rsid w:val="002D4B11"/>
    <w:rsid w:val="002E5633"/>
    <w:rsid w:val="002F1963"/>
    <w:rsid w:val="002F5B6E"/>
    <w:rsid w:val="002F61B5"/>
    <w:rsid w:val="0030209B"/>
    <w:rsid w:val="003127E4"/>
    <w:rsid w:val="00313215"/>
    <w:rsid w:val="003174C3"/>
    <w:rsid w:val="003247E5"/>
    <w:rsid w:val="0032557A"/>
    <w:rsid w:val="00340778"/>
    <w:rsid w:val="00344D2C"/>
    <w:rsid w:val="003458CE"/>
    <w:rsid w:val="00345A57"/>
    <w:rsid w:val="00346D90"/>
    <w:rsid w:val="00351F62"/>
    <w:rsid w:val="003601F4"/>
    <w:rsid w:val="003671E2"/>
    <w:rsid w:val="00372AE6"/>
    <w:rsid w:val="003837E1"/>
    <w:rsid w:val="0038584D"/>
    <w:rsid w:val="0039257F"/>
    <w:rsid w:val="003931DE"/>
    <w:rsid w:val="00397D1A"/>
    <w:rsid w:val="003A163C"/>
    <w:rsid w:val="003A2B4E"/>
    <w:rsid w:val="003A2FBB"/>
    <w:rsid w:val="003A3799"/>
    <w:rsid w:val="003A4850"/>
    <w:rsid w:val="003A4913"/>
    <w:rsid w:val="003A54A9"/>
    <w:rsid w:val="003A7083"/>
    <w:rsid w:val="003B38B3"/>
    <w:rsid w:val="003B3A97"/>
    <w:rsid w:val="003B3D44"/>
    <w:rsid w:val="003C7CC2"/>
    <w:rsid w:val="003D50B6"/>
    <w:rsid w:val="003E05DF"/>
    <w:rsid w:val="003E6085"/>
    <w:rsid w:val="003E6CA3"/>
    <w:rsid w:val="003F4C96"/>
    <w:rsid w:val="00406002"/>
    <w:rsid w:val="00406AD3"/>
    <w:rsid w:val="00412E42"/>
    <w:rsid w:val="00426356"/>
    <w:rsid w:val="00426929"/>
    <w:rsid w:val="00432D8F"/>
    <w:rsid w:val="00442C16"/>
    <w:rsid w:val="00446439"/>
    <w:rsid w:val="00450BDA"/>
    <w:rsid w:val="00453A3E"/>
    <w:rsid w:val="0045452F"/>
    <w:rsid w:val="0045766B"/>
    <w:rsid w:val="00474BB7"/>
    <w:rsid w:val="004816D7"/>
    <w:rsid w:val="0048342E"/>
    <w:rsid w:val="00487478"/>
    <w:rsid w:val="0048782D"/>
    <w:rsid w:val="00494DC1"/>
    <w:rsid w:val="004A3F56"/>
    <w:rsid w:val="004A5E21"/>
    <w:rsid w:val="004A666A"/>
    <w:rsid w:val="004B143F"/>
    <w:rsid w:val="004B49A0"/>
    <w:rsid w:val="004C6306"/>
    <w:rsid w:val="004C6F5E"/>
    <w:rsid w:val="004C7E94"/>
    <w:rsid w:val="004D7CF8"/>
    <w:rsid w:val="004D7EDA"/>
    <w:rsid w:val="004E0E49"/>
    <w:rsid w:val="004E197A"/>
    <w:rsid w:val="004E5D52"/>
    <w:rsid w:val="004F07D7"/>
    <w:rsid w:val="004F1297"/>
    <w:rsid w:val="004F16DB"/>
    <w:rsid w:val="004F4D7E"/>
    <w:rsid w:val="004F5B16"/>
    <w:rsid w:val="004F5D9D"/>
    <w:rsid w:val="004F68E5"/>
    <w:rsid w:val="004F741B"/>
    <w:rsid w:val="00503253"/>
    <w:rsid w:val="00503BB0"/>
    <w:rsid w:val="00503E03"/>
    <w:rsid w:val="00512226"/>
    <w:rsid w:val="005147C6"/>
    <w:rsid w:val="005159B1"/>
    <w:rsid w:val="00522502"/>
    <w:rsid w:val="005255A1"/>
    <w:rsid w:val="0052641C"/>
    <w:rsid w:val="0053795D"/>
    <w:rsid w:val="00544522"/>
    <w:rsid w:val="005468AB"/>
    <w:rsid w:val="005501A0"/>
    <w:rsid w:val="00550831"/>
    <w:rsid w:val="00554273"/>
    <w:rsid w:val="005642B6"/>
    <w:rsid w:val="00571D5E"/>
    <w:rsid w:val="005823D0"/>
    <w:rsid w:val="005A2748"/>
    <w:rsid w:val="005A443F"/>
    <w:rsid w:val="005B58D4"/>
    <w:rsid w:val="005C07B3"/>
    <w:rsid w:val="005C284E"/>
    <w:rsid w:val="005C47D4"/>
    <w:rsid w:val="005C5F86"/>
    <w:rsid w:val="005D51D0"/>
    <w:rsid w:val="005D6F83"/>
    <w:rsid w:val="005D7877"/>
    <w:rsid w:val="005D7CCF"/>
    <w:rsid w:val="005E58C4"/>
    <w:rsid w:val="005E5D8F"/>
    <w:rsid w:val="005F5A5C"/>
    <w:rsid w:val="005F5CD9"/>
    <w:rsid w:val="0061135C"/>
    <w:rsid w:val="006136DD"/>
    <w:rsid w:val="006149F0"/>
    <w:rsid w:val="006220A5"/>
    <w:rsid w:val="00624AC8"/>
    <w:rsid w:val="00633C60"/>
    <w:rsid w:val="0064126D"/>
    <w:rsid w:val="006451B8"/>
    <w:rsid w:val="00645722"/>
    <w:rsid w:val="00652432"/>
    <w:rsid w:val="00657840"/>
    <w:rsid w:val="0066003C"/>
    <w:rsid w:val="0066041E"/>
    <w:rsid w:val="00673CCC"/>
    <w:rsid w:val="00675C98"/>
    <w:rsid w:val="0069026B"/>
    <w:rsid w:val="006956EA"/>
    <w:rsid w:val="006A490C"/>
    <w:rsid w:val="006B4F7D"/>
    <w:rsid w:val="006C114C"/>
    <w:rsid w:val="006C3864"/>
    <w:rsid w:val="006C5383"/>
    <w:rsid w:val="006C5E72"/>
    <w:rsid w:val="006D2AEC"/>
    <w:rsid w:val="006D4C8E"/>
    <w:rsid w:val="006E19D1"/>
    <w:rsid w:val="006E1CBB"/>
    <w:rsid w:val="006F100B"/>
    <w:rsid w:val="006F239A"/>
    <w:rsid w:val="006F2C9D"/>
    <w:rsid w:val="0070637D"/>
    <w:rsid w:val="007071DD"/>
    <w:rsid w:val="0070771F"/>
    <w:rsid w:val="00712A14"/>
    <w:rsid w:val="00716C04"/>
    <w:rsid w:val="00717180"/>
    <w:rsid w:val="007179D2"/>
    <w:rsid w:val="00720750"/>
    <w:rsid w:val="0072549C"/>
    <w:rsid w:val="00725A80"/>
    <w:rsid w:val="00733970"/>
    <w:rsid w:val="00754C58"/>
    <w:rsid w:val="00776E78"/>
    <w:rsid w:val="0078138A"/>
    <w:rsid w:val="00783014"/>
    <w:rsid w:val="007834DC"/>
    <w:rsid w:val="007959D8"/>
    <w:rsid w:val="0079630F"/>
    <w:rsid w:val="007A04C2"/>
    <w:rsid w:val="007B146A"/>
    <w:rsid w:val="007C0E7C"/>
    <w:rsid w:val="007C0EAA"/>
    <w:rsid w:val="007C44B2"/>
    <w:rsid w:val="007C6496"/>
    <w:rsid w:val="007C745E"/>
    <w:rsid w:val="007E3F8C"/>
    <w:rsid w:val="007F15BB"/>
    <w:rsid w:val="007F2058"/>
    <w:rsid w:val="007F690E"/>
    <w:rsid w:val="007F7685"/>
    <w:rsid w:val="0080011D"/>
    <w:rsid w:val="00800EA5"/>
    <w:rsid w:val="00801C01"/>
    <w:rsid w:val="0081210D"/>
    <w:rsid w:val="008130BB"/>
    <w:rsid w:val="00822713"/>
    <w:rsid w:val="008237FA"/>
    <w:rsid w:val="00825D37"/>
    <w:rsid w:val="008369B0"/>
    <w:rsid w:val="008414D2"/>
    <w:rsid w:val="0085732C"/>
    <w:rsid w:val="00860B45"/>
    <w:rsid w:val="00863860"/>
    <w:rsid w:val="008638B5"/>
    <w:rsid w:val="008734DB"/>
    <w:rsid w:val="0087390B"/>
    <w:rsid w:val="008745A1"/>
    <w:rsid w:val="008768E9"/>
    <w:rsid w:val="0087751B"/>
    <w:rsid w:val="00890995"/>
    <w:rsid w:val="008914FB"/>
    <w:rsid w:val="00897E99"/>
    <w:rsid w:val="008A4829"/>
    <w:rsid w:val="008B2384"/>
    <w:rsid w:val="008B38D6"/>
    <w:rsid w:val="008B4802"/>
    <w:rsid w:val="008B69E3"/>
    <w:rsid w:val="008C1FD1"/>
    <w:rsid w:val="008C24A8"/>
    <w:rsid w:val="008C35EF"/>
    <w:rsid w:val="008C5996"/>
    <w:rsid w:val="008D5A11"/>
    <w:rsid w:val="008D5E23"/>
    <w:rsid w:val="008E6D59"/>
    <w:rsid w:val="008F5D66"/>
    <w:rsid w:val="009028AA"/>
    <w:rsid w:val="00903E3F"/>
    <w:rsid w:val="00904264"/>
    <w:rsid w:val="009049C3"/>
    <w:rsid w:val="009057D9"/>
    <w:rsid w:val="0090774A"/>
    <w:rsid w:val="00910D07"/>
    <w:rsid w:val="00914B2F"/>
    <w:rsid w:val="009150E6"/>
    <w:rsid w:val="00917F89"/>
    <w:rsid w:val="009255EE"/>
    <w:rsid w:val="00925603"/>
    <w:rsid w:val="00925F76"/>
    <w:rsid w:val="00932E89"/>
    <w:rsid w:val="0093359D"/>
    <w:rsid w:val="00933F2B"/>
    <w:rsid w:val="00942EEB"/>
    <w:rsid w:val="0094468E"/>
    <w:rsid w:val="00945261"/>
    <w:rsid w:val="009506A5"/>
    <w:rsid w:val="009541CC"/>
    <w:rsid w:val="00956564"/>
    <w:rsid w:val="00956D5A"/>
    <w:rsid w:val="00961B2C"/>
    <w:rsid w:val="00961DBB"/>
    <w:rsid w:val="0096618E"/>
    <w:rsid w:val="009808F5"/>
    <w:rsid w:val="00981433"/>
    <w:rsid w:val="00985274"/>
    <w:rsid w:val="00985C07"/>
    <w:rsid w:val="00995B4F"/>
    <w:rsid w:val="00997582"/>
    <w:rsid w:val="009A02EF"/>
    <w:rsid w:val="009A2C21"/>
    <w:rsid w:val="009A3E58"/>
    <w:rsid w:val="009A4D0D"/>
    <w:rsid w:val="009A5F02"/>
    <w:rsid w:val="009A7AB1"/>
    <w:rsid w:val="009C6DAA"/>
    <w:rsid w:val="009D0E74"/>
    <w:rsid w:val="009D1A96"/>
    <w:rsid w:val="009D370B"/>
    <w:rsid w:val="009D75D4"/>
    <w:rsid w:val="009E2087"/>
    <w:rsid w:val="009E252B"/>
    <w:rsid w:val="009E3265"/>
    <w:rsid w:val="009E3353"/>
    <w:rsid w:val="009E446D"/>
    <w:rsid w:val="009E7C09"/>
    <w:rsid w:val="009F146D"/>
    <w:rsid w:val="009F4F1E"/>
    <w:rsid w:val="009F59B1"/>
    <w:rsid w:val="009F7CC1"/>
    <w:rsid w:val="00A015E4"/>
    <w:rsid w:val="00A075BC"/>
    <w:rsid w:val="00A11222"/>
    <w:rsid w:val="00A12C39"/>
    <w:rsid w:val="00A134FB"/>
    <w:rsid w:val="00A20802"/>
    <w:rsid w:val="00A25B4F"/>
    <w:rsid w:val="00A442BF"/>
    <w:rsid w:val="00A53716"/>
    <w:rsid w:val="00A5629E"/>
    <w:rsid w:val="00A64832"/>
    <w:rsid w:val="00A732DB"/>
    <w:rsid w:val="00A86F04"/>
    <w:rsid w:val="00A946C4"/>
    <w:rsid w:val="00AC01F8"/>
    <w:rsid w:val="00AC059A"/>
    <w:rsid w:val="00AD0308"/>
    <w:rsid w:val="00AD377A"/>
    <w:rsid w:val="00AD67BB"/>
    <w:rsid w:val="00AE1CC1"/>
    <w:rsid w:val="00AE3EA4"/>
    <w:rsid w:val="00AF1B02"/>
    <w:rsid w:val="00AF41E4"/>
    <w:rsid w:val="00B06A75"/>
    <w:rsid w:val="00B06BC3"/>
    <w:rsid w:val="00B15A0F"/>
    <w:rsid w:val="00B16014"/>
    <w:rsid w:val="00B20236"/>
    <w:rsid w:val="00B20937"/>
    <w:rsid w:val="00B220A0"/>
    <w:rsid w:val="00B22B64"/>
    <w:rsid w:val="00B22FEA"/>
    <w:rsid w:val="00B24321"/>
    <w:rsid w:val="00B30FEB"/>
    <w:rsid w:val="00B40AA3"/>
    <w:rsid w:val="00B44478"/>
    <w:rsid w:val="00B6002C"/>
    <w:rsid w:val="00B620EE"/>
    <w:rsid w:val="00B801C6"/>
    <w:rsid w:val="00B828A4"/>
    <w:rsid w:val="00B85366"/>
    <w:rsid w:val="00B87F60"/>
    <w:rsid w:val="00B93D3D"/>
    <w:rsid w:val="00BA471F"/>
    <w:rsid w:val="00BB1C07"/>
    <w:rsid w:val="00BB5013"/>
    <w:rsid w:val="00BB528E"/>
    <w:rsid w:val="00BC2600"/>
    <w:rsid w:val="00BC36F0"/>
    <w:rsid w:val="00BC4FA7"/>
    <w:rsid w:val="00BC5E30"/>
    <w:rsid w:val="00BD02C5"/>
    <w:rsid w:val="00BD068D"/>
    <w:rsid w:val="00BE0D9A"/>
    <w:rsid w:val="00BE1A50"/>
    <w:rsid w:val="00BE2F0D"/>
    <w:rsid w:val="00BF0BD5"/>
    <w:rsid w:val="00BF55F8"/>
    <w:rsid w:val="00C051FD"/>
    <w:rsid w:val="00C20C7D"/>
    <w:rsid w:val="00C20DEF"/>
    <w:rsid w:val="00C24B25"/>
    <w:rsid w:val="00C32C2F"/>
    <w:rsid w:val="00C3738A"/>
    <w:rsid w:val="00C4315A"/>
    <w:rsid w:val="00C43F5E"/>
    <w:rsid w:val="00C44074"/>
    <w:rsid w:val="00C4651F"/>
    <w:rsid w:val="00C51D0B"/>
    <w:rsid w:val="00C52A50"/>
    <w:rsid w:val="00C642D4"/>
    <w:rsid w:val="00C730F4"/>
    <w:rsid w:val="00C80200"/>
    <w:rsid w:val="00C8270B"/>
    <w:rsid w:val="00C841A9"/>
    <w:rsid w:val="00C8728F"/>
    <w:rsid w:val="00C903DE"/>
    <w:rsid w:val="00C97FBC"/>
    <w:rsid w:val="00CA0B7E"/>
    <w:rsid w:val="00CA5598"/>
    <w:rsid w:val="00CA5EF8"/>
    <w:rsid w:val="00CB28A3"/>
    <w:rsid w:val="00CC00A0"/>
    <w:rsid w:val="00CC5455"/>
    <w:rsid w:val="00CC6C06"/>
    <w:rsid w:val="00CD4094"/>
    <w:rsid w:val="00CD5509"/>
    <w:rsid w:val="00CE1EB0"/>
    <w:rsid w:val="00CE3DF2"/>
    <w:rsid w:val="00CF0C0F"/>
    <w:rsid w:val="00CF1690"/>
    <w:rsid w:val="00CF1F2A"/>
    <w:rsid w:val="00CF5CE3"/>
    <w:rsid w:val="00CF7412"/>
    <w:rsid w:val="00D030F8"/>
    <w:rsid w:val="00D0753A"/>
    <w:rsid w:val="00D077B7"/>
    <w:rsid w:val="00D20297"/>
    <w:rsid w:val="00D21E6B"/>
    <w:rsid w:val="00D23634"/>
    <w:rsid w:val="00D34551"/>
    <w:rsid w:val="00D36366"/>
    <w:rsid w:val="00D457D6"/>
    <w:rsid w:val="00D53A7C"/>
    <w:rsid w:val="00D64CE2"/>
    <w:rsid w:val="00D7751B"/>
    <w:rsid w:val="00D815DC"/>
    <w:rsid w:val="00D822B5"/>
    <w:rsid w:val="00D83D3C"/>
    <w:rsid w:val="00D867AE"/>
    <w:rsid w:val="00D87BBB"/>
    <w:rsid w:val="00D87C87"/>
    <w:rsid w:val="00D921C4"/>
    <w:rsid w:val="00D9296A"/>
    <w:rsid w:val="00D93C23"/>
    <w:rsid w:val="00D95638"/>
    <w:rsid w:val="00D9584C"/>
    <w:rsid w:val="00DA0F39"/>
    <w:rsid w:val="00DA14D9"/>
    <w:rsid w:val="00DB13AD"/>
    <w:rsid w:val="00DB23F9"/>
    <w:rsid w:val="00DB58BE"/>
    <w:rsid w:val="00DB6176"/>
    <w:rsid w:val="00DB6AA0"/>
    <w:rsid w:val="00DB7C3A"/>
    <w:rsid w:val="00DD3161"/>
    <w:rsid w:val="00DD32AB"/>
    <w:rsid w:val="00DD5BF6"/>
    <w:rsid w:val="00DE1865"/>
    <w:rsid w:val="00DE6CEF"/>
    <w:rsid w:val="00DF11C2"/>
    <w:rsid w:val="00DF4593"/>
    <w:rsid w:val="00E10D05"/>
    <w:rsid w:val="00E2223E"/>
    <w:rsid w:val="00E22D98"/>
    <w:rsid w:val="00E24623"/>
    <w:rsid w:val="00E252E3"/>
    <w:rsid w:val="00E40505"/>
    <w:rsid w:val="00E42A41"/>
    <w:rsid w:val="00E45766"/>
    <w:rsid w:val="00E567E5"/>
    <w:rsid w:val="00E6708B"/>
    <w:rsid w:val="00E73A8C"/>
    <w:rsid w:val="00E75050"/>
    <w:rsid w:val="00E76F42"/>
    <w:rsid w:val="00E915E6"/>
    <w:rsid w:val="00EA3E11"/>
    <w:rsid w:val="00EA6EB3"/>
    <w:rsid w:val="00EB4A8E"/>
    <w:rsid w:val="00EB5EF3"/>
    <w:rsid w:val="00EB695D"/>
    <w:rsid w:val="00ED39CE"/>
    <w:rsid w:val="00ED4134"/>
    <w:rsid w:val="00EE05F1"/>
    <w:rsid w:val="00EE471A"/>
    <w:rsid w:val="00EE5492"/>
    <w:rsid w:val="00F07BD5"/>
    <w:rsid w:val="00F122D6"/>
    <w:rsid w:val="00F15BF4"/>
    <w:rsid w:val="00F17940"/>
    <w:rsid w:val="00F2046C"/>
    <w:rsid w:val="00F20647"/>
    <w:rsid w:val="00F31392"/>
    <w:rsid w:val="00F348B5"/>
    <w:rsid w:val="00F3652B"/>
    <w:rsid w:val="00F377B9"/>
    <w:rsid w:val="00F45442"/>
    <w:rsid w:val="00F5145E"/>
    <w:rsid w:val="00F558EA"/>
    <w:rsid w:val="00F613CB"/>
    <w:rsid w:val="00F61F79"/>
    <w:rsid w:val="00F656A4"/>
    <w:rsid w:val="00F6665E"/>
    <w:rsid w:val="00F7075F"/>
    <w:rsid w:val="00F71D76"/>
    <w:rsid w:val="00F8349F"/>
    <w:rsid w:val="00F83FB7"/>
    <w:rsid w:val="00F85935"/>
    <w:rsid w:val="00F85D29"/>
    <w:rsid w:val="00F969D3"/>
    <w:rsid w:val="00F971AC"/>
    <w:rsid w:val="00FA190E"/>
    <w:rsid w:val="00FA54D8"/>
    <w:rsid w:val="00FA55F3"/>
    <w:rsid w:val="00FB1C43"/>
    <w:rsid w:val="00FC4FB7"/>
    <w:rsid w:val="00FD357B"/>
    <w:rsid w:val="00FD38FC"/>
    <w:rsid w:val="00FD6119"/>
    <w:rsid w:val="00FD688E"/>
    <w:rsid w:val="00FD7C0C"/>
    <w:rsid w:val="00FE045C"/>
    <w:rsid w:val="00FE0C52"/>
    <w:rsid w:val="00FE1692"/>
    <w:rsid w:val="00FF0566"/>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uiPriority="9" w:qFormat="1"/>
    <w:lsdException w:name="heading 3"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qFormat="1"/>
    <w:lsdException w:name="footer" w:uiPriority="99" w:qFormat="1"/>
    <w:lsdException w:name="caption" w:qFormat="1"/>
    <w:lsdException w:name="table of figures" w:semiHidden="0" w:uiPriority="99" w:unhideWhenUsed="0"/>
    <w:lsdException w:name="List Bullet" w:qFormat="1"/>
    <w:lsdException w:name="List Number" w:qFormat="1"/>
    <w:lsdException w:name="List Bullet 2" w:qFormat="1"/>
    <w:lsdException w:name="List Bullet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iPriority="5"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rsid w:val="000E266E"/>
    <w:pPr>
      <w:spacing w:line="300" w:lineRule="atLeast"/>
    </w:pPr>
    <w:rPr>
      <w:sz w:val="22"/>
      <w:szCs w:val="22"/>
      <w:lang w:eastAsia="en-US"/>
    </w:rPr>
  </w:style>
  <w:style w:type="paragraph" w:styleId="Heading1">
    <w:name w:val="heading 1"/>
    <w:basedOn w:val="Normal"/>
    <w:next w:val="BodyText"/>
    <w:link w:val="Heading1Char"/>
    <w:qFormat/>
    <w:rsid w:val="009F7CC1"/>
    <w:pPr>
      <w:keepNext/>
      <w:keepLines/>
      <w:numPr>
        <w:numId w:val="33"/>
      </w:numPr>
      <w:tabs>
        <w:tab w:val="right" w:pos="1418"/>
        <w:tab w:val="right" w:pos="1701"/>
        <w:tab w:val="right" w:pos="1985"/>
      </w:tabs>
      <w:spacing w:before="680" w:after="480" w:line="240" w:lineRule="auto"/>
      <w:jc w:val="center"/>
      <w:outlineLvl w:val="0"/>
    </w:pPr>
    <w:rPr>
      <w:rFonts w:ascii="Georgia" w:hAnsi="Georgia"/>
      <w:bCs/>
      <w:color w:val="2B3B5F"/>
      <w:spacing w:val="-6"/>
      <w:kern w:val="32"/>
      <w:sz w:val="36"/>
      <w:szCs w:val="32"/>
    </w:rPr>
  </w:style>
  <w:style w:type="paragraph" w:styleId="Heading2">
    <w:name w:val="heading 2"/>
    <w:basedOn w:val="Normal"/>
    <w:next w:val="BodyText"/>
    <w:link w:val="Heading2Char"/>
    <w:uiPriority w:val="9"/>
    <w:qFormat/>
    <w:rsid w:val="00064E89"/>
    <w:pPr>
      <w:keepNext/>
      <w:keepLines/>
      <w:numPr>
        <w:ilvl w:val="1"/>
        <w:numId w:val="33"/>
      </w:numPr>
      <w:tabs>
        <w:tab w:val="left" w:pos="1418"/>
        <w:tab w:val="left" w:pos="1701"/>
        <w:tab w:val="left" w:pos="1985"/>
      </w:tabs>
      <w:spacing w:before="470" w:after="227"/>
      <w:outlineLvl w:val="1"/>
    </w:pPr>
    <w:rPr>
      <w:rFonts w:ascii="Georgia" w:hAnsi="Georgia"/>
      <w:bCs/>
      <w:iCs/>
      <w:color w:val="2B3B5F"/>
      <w:kern w:val="20"/>
      <w:sz w:val="28"/>
      <w:szCs w:val="28"/>
    </w:rPr>
  </w:style>
  <w:style w:type="paragraph" w:styleId="Heading3">
    <w:name w:val="heading 3"/>
    <w:basedOn w:val="Normal"/>
    <w:next w:val="BodyText"/>
    <w:link w:val="Heading3Char"/>
    <w:uiPriority w:val="9"/>
    <w:qFormat/>
    <w:rsid w:val="00064E89"/>
    <w:pPr>
      <w:keepNext/>
      <w:keepLines/>
      <w:numPr>
        <w:ilvl w:val="2"/>
        <w:numId w:val="33"/>
      </w:numPr>
      <w:tabs>
        <w:tab w:val="left" w:pos="1418"/>
        <w:tab w:val="left" w:pos="1701"/>
        <w:tab w:val="left" w:pos="1985"/>
      </w:tabs>
      <w:spacing w:before="470" w:after="227"/>
      <w:outlineLvl w:val="2"/>
    </w:pPr>
    <w:rPr>
      <w:b/>
      <w:color w:val="2B3B5F"/>
      <w:sz w:val="24"/>
      <w:szCs w:val="26"/>
    </w:rPr>
  </w:style>
  <w:style w:type="paragraph" w:styleId="Heading4">
    <w:name w:val="heading 4"/>
    <w:basedOn w:val="Normal"/>
    <w:next w:val="BodyText"/>
    <w:link w:val="Heading4Char"/>
    <w:rsid w:val="00B620EE"/>
    <w:pPr>
      <w:keepNext/>
      <w:keepLines/>
      <w:tabs>
        <w:tab w:val="left" w:pos="1418"/>
        <w:tab w:val="left" w:pos="1701"/>
        <w:tab w:val="left" w:pos="1985"/>
      </w:tabs>
      <w:spacing w:before="227" w:after="113"/>
      <w:outlineLvl w:val="3"/>
    </w:pPr>
    <w:rPr>
      <w:rFonts w:eastAsia="Times New Roman"/>
      <w:b/>
      <w:bCs/>
      <w:i/>
      <w:iCs/>
      <w:color w:val="2B3B5F"/>
      <w:sz w:val="24"/>
    </w:rPr>
  </w:style>
  <w:style w:type="paragraph" w:styleId="Heading5">
    <w:name w:val="heading 5"/>
    <w:basedOn w:val="Normal"/>
    <w:next w:val="BodyText"/>
    <w:link w:val="Heading5Char"/>
    <w:rsid w:val="00B620EE"/>
    <w:pPr>
      <w:keepNext/>
      <w:keepLines/>
      <w:spacing w:before="180" w:after="60"/>
      <w:outlineLvl w:val="4"/>
    </w:pPr>
    <w:rPr>
      <w:rFonts w:ascii="Georgia" w:eastAsia="Times New Roman" w:hAnsi="Georgia"/>
      <w:i/>
      <w:color w:val="636366"/>
      <w:sz w:val="24"/>
    </w:rPr>
  </w:style>
  <w:style w:type="paragraph" w:styleId="Heading6">
    <w:name w:val="heading 6"/>
    <w:basedOn w:val="Normal"/>
    <w:next w:val="BodyText"/>
    <w:link w:val="Heading6Char"/>
    <w:rsid w:val="00B620EE"/>
    <w:pPr>
      <w:keepNext/>
      <w:keepLines/>
      <w:spacing w:before="280" w:after="240"/>
      <w:outlineLvl w:val="5"/>
    </w:pPr>
    <w:rPr>
      <w:rFonts w:ascii="Georgia" w:eastAsia="Times New Roman" w:hAnsi="Georgia"/>
      <w:i/>
      <w:iCs/>
      <w:color w:val="2B3B5F"/>
      <w:sz w:val="24"/>
    </w:rPr>
  </w:style>
  <w:style w:type="paragraph" w:styleId="Heading7">
    <w:name w:val="heading 7"/>
    <w:basedOn w:val="Normal"/>
    <w:next w:val="Normal"/>
    <w:link w:val="Heading7Char"/>
    <w:semiHidden/>
    <w:rsid w:val="00961DBB"/>
    <w:pPr>
      <w:keepNext/>
      <w:keepLines/>
      <w:spacing w:before="2820" w:after="180"/>
      <w:outlineLvl w:val="6"/>
    </w:pPr>
    <w:rPr>
      <w:rFonts w:ascii="Georgia" w:eastAsia="Times New Roman" w:hAnsi="Georgia"/>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Georgia" w:eastAsia="Times New Roman" w:hAnsi="Georgia"/>
      <w:color w:val="2B3B5F"/>
      <w:sz w:val="40"/>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Georgia" w:hAnsi="Georgia"/>
      <w:color w:val="2B3B5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link w:val="FootnoteText"/>
    <w:rsid w:val="000E266E"/>
    <w:rPr>
      <w:kern w:val="16"/>
      <w:sz w:val="18"/>
    </w:rPr>
  </w:style>
  <w:style w:type="character" w:styleId="FootnoteReference">
    <w:name w:val="footnote reference"/>
    <w:rsid w:val="00961DBB"/>
    <w:rPr>
      <w:rFonts w:ascii="Calibri" w:hAnsi="Calibri"/>
      <w:color w:val="auto"/>
      <w:vertAlign w:val="superscript"/>
    </w:rPr>
  </w:style>
  <w:style w:type="paragraph" w:styleId="BodyText">
    <w:name w:val="Body Text"/>
    <w:basedOn w:val="Normal"/>
    <w:link w:val="BodyTextChar"/>
    <w:qFormat/>
    <w:rsid w:val="009A02EF"/>
    <w:pPr>
      <w:spacing w:before="240"/>
    </w:pPr>
    <w:rPr>
      <w:spacing w:val="-1"/>
      <w:sz w:val="24"/>
    </w:rPr>
  </w:style>
  <w:style w:type="character" w:customStyle="1" w:styleId="BodyTextChar">
    <w:name w:val="Body Text Char"/>
    <w:link w:val="BodyText"/>
    <w:rsid w:val="009A02EF"/>
    <w:rPr>
      <w:rFonts w:cs="Times New Roman"/>
      <w:spacing w:val="-1"/>
      <w:sz w:val="24"/>
    </w:rPr>
  </w:style>
  <w:style w:type="paragraph" w:customStyle="1" w:styleId="BodyText17ptAbove">
    <w:name w:val="Body Text 17pt Above"/>
    <w:basedOn w:val="BodyText"/>
    <w:next w:val="BodyText"/>
    <w:rsid w:val="00961DBB"/>
    <w:pPr>
      <w:spacing w:before="340"/>
    </w:pPr>
  </w:style>
  <w:style w:type="character" w:customStyle="1" w:styleId="Heading1Char">
    <w:name w:val="Heading 1 Char"/>
    <w:link w:val="Heading1"/>
    <w:rsid w:val="009F7CC1"/>
    <w:rPr>
      <w:rFonts w:ascii="Georgia" w:hAnsi="Georgia"/>
      <w:bCs/>
      <w:color w:val="2B3B5F"/>
      <w:spacing w:val="-6"/>
      <w:kern w:val="32"/>
      <w:sz w:val="36"/>
      <w:szCs w:val="32"/>
      <w:lang w:eastAsia="en-US"/>
    </w:rPr>
  </w:style>
  <w:style w:type="character" w:customStyle="1" w:styleId="Heading2Char">
    <w:name w:val="Heading 2 Char"/>
    <w:link w:val="Heading2"/>
    <w:rsid w:val="00064E89"/>
    <w:rPr>
      <w:rFonts w:ascii="Georgia" w:hAnsi="Georgia"/>
      <w:bCs/>
      <w:iCs/>
      <w:color w:val="2B3B5F"/>
      <w:kern w:val="20"/>
      <w:sz w:val="28"/>
      <w:szCs w:val="28"/>
    </w:rPr>
  </w:style>
  <w:style w:type="character" w:customStyle="1" w:styleId="Heading3Char">
    <w:name w:val="Heading 3 Char"/>
    <w:link w:val="Heading3"/>
    <w:rsid w:val="00064E89"/>
    <w:rPr>
      <w:b/>
      <w:color w:val="2B3B5F"/>
      <w:sz w:val="24"/>
      <w:szCs w:val="26"/>
    </w:rPr>
  </w:style>
  <w:style w:type="character" w:customStyle="1" w:styleId="Heading4Char">
    <w:name w:val="Heading 4 Char"/>
    <w:link w:val="Heading4"/>
    <w:rsid w:val="000E266E"/>
    <w:rPr>
      <w:rFonts w:eastAsia="Times New Roman" w:cs="Times New Roman"/>
      <w:b/>
      <w:bCs/>
      <w:i/>
      <w:iCs/>
      <w:color w:val="2B3B5F"/>
      <w:sz w:val="24"/>
    </w:rPr>
  </w:style>
  <w:style w:type="character" w:customStyle="1" w:styleId="Heading5Char">
    <w:name w:val="Heading 5 Char"/>
    <w:link w:val="Heading5"/>
    <w:rsid w:val="000E266E"/>
    <w:rPr>
      <w:rFonts w:ascii="Georgia" w:eastAsia="Times New Roman" w:hAnsi="Georgia" w:cs="Times New Roman"/>
      <w:i/>
      <w:color w:val="636366"/>
      <w:sz w:val="24"/>
    </w:rPr>
  </w:style>
  <w:style w:type="character" w:customStyle="1" w:styleId="Heading6Char">
    <w:name w:val="Heading 6 Char"/>
    <w:link w:val="Heading6"/>
    <w:rsid w:val="000E266E"/>
    <w:rPr>
      <w:rFonts w:ascii="Georgia" w:eastAsia="Times New Roman" w:hAnsi="Georgia" w:cs="Times New Roman"/>
      <w:i/>
      <w:iCs/>
      <w:color w:val="2B3B5F"/>
      <w:sz w:val="24"/>
    </w:rPr>
  </w:style>
  <w:style w:type="character" w:customStyle="1" w:styleId="Heading7Char">
    <w:name w:val="Heading 7 Char"/>
    <w:link w:val="Heading7"/>
    <w:semiHidden/>
    <w:rsid w:val="000E266E"/>
    <w:rPr>
      <w:rFonts w:ascii="Georgia" w:eastAsia="Times New Roman" w:hAnsi="Georgia" w:cs="Times New Roman"/>
      <w:b/>
      <w:iCs/>
      <w:color w:val="FFFFFF"/>
    </w:rPr>
  </w:style>
  <w:style w:type="character" w:customStyle="1" w:styleId="Heading8Char">
    <w:name w:val="Heading 8 Char"/>
    <w:aliases w:val="Appendix Title Char"/>
    <w:link w:val="Heading8"/>
    <w:rsid w:val="000E266E"/>
    <w:rPr>
      <w:rFonts w:ascii="Georgia" w:eastAsia="Times New Roman" w:hAnsi="Georgia" w:cs="Times New Roman"/>
      <w:color w:val="2B3B5F"/>
      <w:sz w:val="40"/>
    </w:rPr>
  </w:style>
  <w:style w:type="character" w:customStyle="1" w:styleId="Heading9Char">
    <w:name w:val="Heading 9 Char"/>
    <w:aliases w:val="Appendix Heading 1 Char"/>
    <w:link w:val="Heading9"/>
    <w:rsid w:val="000E266E"/>
    <w:rPr>
      <w:rFonts w:ascii="Georgia" w:hAnsi="Georgia"/>
      <w:color w:val="2B3B5F"/>
      <w:sz w:val="32"/>
    </w:r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Georgia" w:hAnsi="Georgia"/>
      <w:color w:val="2B3B5F"/>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spacing w:val="-4"/>
    </w:rPr>
  </w:style>
  <w:style w:type="paragraph" w:styleId="Footer">
    <w:name w:val="footer"/>
    <w:basedOn w:val="Normal"/>
    <w:link w:val="FooterChar"/>
    <w:uiPriority w:val="99"/>
    <w:qFormat/>
    <w:rsid w:val="009A02EF"/>
    <w:pPr>
      <w:spacing w:before="113" w:after="113" w:line="240" w:lineRule="auto"/>
      <w:jc w:val="center"/>
    </w:pPr>
    <w:rPr>
      <w:rFonts w:ascii="Arial" w:hAnsi="Arial"/>
      <w:sz w:val="17"/>
    </w:rPr>
  </w:style>
  <w:style w:type="character" w:customStyle="1" w:styleId="FooterChar">
    <w:name w:val="Footer Char"/>
    <w:link w:val="Footer"/>
    <w:uiPriority w:val="99"/>
    <w:rsid w:val="009A02EF"/>
    <w:rPr>
      <w:rFonts w:ascii="Arial" w:hAnsi="Arial"/>
      <w:sz w:val="17"/>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pBdr>
      <w:spacing w:before="120" w:line="120" w:lineRule="exact"/>
    </w:pPr>
    <w:rPr>
      <w:sz w:val="14"/>
      <w:szCs w:val="16"/>
    </w:rPr>
  </w:style>
  <w:style w:type="paragraph" w:styleId="Header">
    <w:name w:val="header"/>
    <w:basedOn w:val="Normal"/>
    <w:link w:val="HeaderChar"/>
    <w:uiPriority w:val="99"/>
    <w:qFormat/>
    <w:rsid w:val="00D36366"/>
    <w:pPr>
      <w:spacing w:before="720" w:after="1200" w:line="240" w:lineRule="auto"/>
      <w:ind w:left="5783"/>
    </w:pPr>
    <w:rPr>
      <w:rFonts w:asciiTheme="minorHAnsi" w:hAnsiTheme="minorHAnsi"/>
      <w:b/>
      <w:sz w:val="19"/>
      <w:szCs w:val="19"/>
    </w:rPr>
  </w:style>
  <w:style w:type="character" w:customStyle="1" w:styleId="HeaderChar">
    <w:name w:val="Header Char"/>
    <w:link w:val="Header"/>
    <w:uiPriority w:val="99"/>
    <w:rsid w:val="00D36366"/>
    <w:rPr>
      <w:rFonts w:asciiTheme="minorHAnsi" w:hAnsiTheme="minorHAnsi"/>
      <w:b/>
      <w:sz w:val="19"/>
      <w:szCs w:val="19"/>
      <w:lang w:eastAsia="en-US"/>
    </w:rPr>
  </w:style>
  <w:style w:type="paragraph" w:customStyle="1" w:styleId="HighlightText">
    <w:name w:val="Highlight Text"/>
    <w:basedOn w:val="Normal"/>
    <w:rsid w:val="00961DBB"/>
    <w:pPr>
      <w:spacing w:before="120" w:after="420"/>
    </w:pPr>
    <w:rPr>
      <w:i/>
      <w:color w:val="2B3B5F"/>
      <w:spacing w:val="-1"/>
    </w:rPr>
  </w:style>
  <w:style w:type="paragraph" w:customStyle="1" w:styleId="Introduction">
    <w:name w:val="Introduction"/>
    <w:basedOn w:val="Normal"/>
    <w:next w:val="BodyText"/>
    <w:rsid w:val="00961DBB"/>
    <w:pPr>
      <w:spacing w:after="180" w:line="360" w:lineRule="atLeast"/>
    </w:pPr>
    <w:rPr>
      <w:color w:val="2B3B5F"/>
      <w:spacing w:val="-2"/>
      <w:sz w:val="30"/>
    </w:rPr>
  </w:style>
  <w:style w:type="character" w:customStyle="1" w:styleId="Italics">
    <w:name w:val="Italics"/>
    <w:rsid w:val="00961DBB"/>
    <w:rPr>
      <w:i/>
    </w:rPr>
  </w:style>
  <w:style w:type="paragraph" w:styleId="ListBullet">
    <w:name w:val="List Bullet"/>
    <w:basedOn w:val="Normal"/>
    <w:unhideWhenUsed/>
    <w:qFormat/>
    <w:rsid w:val="00187A07"/>
    <w:pPr>
      <w:keepLines/>
      <w:numPr>
        <w:numId w:val="6"/>
      </w:numPr>
      <w:tabs>
        <w:tab w:val="clear" w:pos="454"/>
        <w:tab w:val="num" w:pos="907"/>
      </w:tabs>
      <w:spacing w:before="60" w:after="60"/>
      <w:ind w:left="680" w:hanging="340"/>
    </w:pPr>
    <w:rPr>
      <w:rFonts w:asciiTheme="minorHAnsi" w:hAnsiTheme="minorHAnsi"/>
      <w:spacing w:val="-1"/>
      <w:sz w:val="24"/>
      <w:szCs w:val="24"/>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qFormat/>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12"/>
      </w:numPr>
      <w:spacing w:before="113" w:after="113"/>
    </w:pPr>
    <w:rPr>
      <w:spacing w:val="-1"/>
    </w:rPr>
  </w:style>
  <w:style w:type="paragraph" w:styleId="ListNumber2">
    <w:name w:val="List Number 2"/>
    <w:basedOn w:val="Normal"/>
    <w:rsid w:val="00961DBB"/>
    <w:pPr>
      <w:numPr>
        <w:ilvl w:val="1"/>
        <w:numId w:val="12"/>
      </w:numPr>
      <w:spacing w:before="113" w:after="113"/>
    </w:pPr>
    <w:rPr>
      <w:spacing w:val="-1"/>
    </w:rPr>
  </w:style>
  <w:style w:type="paragraph" w:styleId="ListNumber3">
    <w:name w:val="List Number 3"/>
    <w:basedOn w:val="Normal"/>
    <w:rsid w:val="00961DBB"/>
    <w:pPr>
      <w:numPr>
        <w:ilvl w:val="2"/>
        <w:numId w:val="1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rPr>
      <w:rFonts w:eastAsia="Times New Roman" w:cs="Arial"/>
      <w:sz w:val="22"/>
      <w:szCs w:val="22"/>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Georgia" w:hAnsi="Georgia"/>
      <w:color w:val="2B3B5F"/>
      <w:sz w:val="32"/>
    </w:rPr>
  </w:style>
  <w:style w:type="paragraph" w:customStyle="1" w:styleId="OverviewHeading3">
    <w:name w:val="Overview Heading 3"/>
    <w:basedOn w:val="OverviewHeading2"/>
    <w:next w:val="OverviewBodyText"/>
    <w:rsid w:val="00512226"/>
    <w:rPr>
      <w:rFonts w:asciiTheme="majorHAnsi" w:hAnsiTheme="majorHAnsi"/>
      <w:color w:val="2B3B5F" w:themeColor="text2"/>
      <w:sz w:val="28"/>
    </w:rPr>
  </w:style>
  <w:style w:type="character" w:styleId="PageNumber">
    <w:name w:val="page number"/>
    <w:semiHidden/>
    <w:rsid w:val="00961DBB"/>
    <w:rPr>
      <w:rFonts w:ascii="Arial" w:hAnsi="Arial"/>
      <w:b/>
      <w:color w:val="auto"/>
      <w:sz w:val="16"/>
    </w:rPr>
  </w:style>
  <w:style w:type="paragraph" w:customStyle="1" w:styleId="PageNumberOdd">
    <w:name w:val="Page Number Odd"/>
    <w:semiHidden/>
    <w:rsid w:val="00961DBB"/>
    <w:pPr>
      <w:spacing w:line="300" w:lineRule="atLeast"/>
      <w:ind w:right="57"/>
      <w:jc w:val="right"/>
    </w:pPr>
    <w:rPr>
      <w:rFonts w:eastAsia="Times New Roman" w:cs="Arial"/>
      <w:b/>
      <w:color w:val="2B3B5F"/>
      <w:sz w:val="14"/>
      <w:szCs w:val="28"/>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rsid w:val="00961DBB"/>
    <w:rPr>
      <w:color w:val="808080"/>
    </w:rPr>
  </w:style>
  <w:style w:type="paragraph" w:customStyle="1" w:styleId="PullOutBoxBodyText">
    <w:name w:val="Pull Out Box Body Text"/>
    <w:basedOn w:val="Normal"/>
    <w:rsid w:val="00961DBB"/>
    <w:pPr>
      <w:spacing w:before="113" w:after="113"/>
      <w:ind w:left="227" w:right="170"/>
    </w:pPr>
    <w:rPr>
      <w:spacing w:val="-1"/>
    </w:rPr>
  </w:style>
  <w:style w:type="paragraph" w:customStyle="1" w:styleId="PullOutBoxBullet">
    <w:name w:val="Pull Out Box Bullet"/>
    <w:basedOn w:val="PullOutBoxBodyText"/>
    <w:rsid w:val="00961DBB"/>
    <w:pPr>
      <w:numPr>
        <w:numId w:val="19"/>
      </w:numPr>
    </w:pPr>
  </w:style>
  <w:style w:type="paragraph" w:customStyle="1" w:styleId="PullOutBoxBullet2">
    <w:name w:val="Pull Out Box Bullet 2"/>
    <w:basedOn w:val="PullOutBoxBodyText"/>
    <w:rsid w:val="00961DBB"/>
    <w:pPr>
      <w:numPr>
        <w:ilvl w:val="1"/>
        <w:numId w:val="19"/>
      </w:numPr>
    </w:pPr>
  </w:style>
  <w:style w:type="paragraph" w:customStyle="1" w:styleId="PullOutBoxBullet3">
    <w:name w:val="Pull Out Box Bullet 3"/>
    <w:basedOn w:val="PullOutBoxBodyText"/>
    <w:rsid w:val="00961DBB"/>
    <w:pPr>
      <w:numPr>
        <w:ilvl w:val="2"/>
        <w:numId w:val="19"/>
      </w:numPr>
    </w:pPr>
  </w:style>
  <w:style w:type="paragraph" w:customStyle="1" w:styleId="PullOutBoxHeading">
    <w:name w:val="Pull Out Box Heading"/>
    <w:basedOn w:val="PullOutBoxBodyText"/>
    <w:rsid w:val="009E446D"/>
    <w:pPr>
      <w:keepNext/>
      <w:keepLines/>
      <w:spacing w:before="114" w:after="114" w:line="360" w:lineRule="atLeast"/>
    </w:pPr>
    <w:rPr>
      <w:b/>
      <w:color w:val="2B3B5F"/>
      <w:sz w:val="28"/>
    </w:rPr>
  </w:style>
  <w:style w:type="paragraph" w:customStyle="1" w:styleId="PullOutBoxNumber">
    <w:name w:val="Pull Out Box Number"/>
    <w:basedOn w:val="PullOutBoxBodyText"/>
    <w:rsid w:val="00961DBB"/>
    <w:pPr>
      <w:numPr>
        <w:numId w:val="22"/>
      </w:numPr>
    </w:pPr>
  </w:style>
  <w:style w:type="paragraph" w:customStyle="1" w:styleId="PullOutBoxNumber2">
    <w:name w:val="Pull Out Box Number 2"/>
    <w:basedOn w:val="PullOutBoxBodyText"/>
    <w:rsid w:val="00961DBB"/>
    <w:pPr>
      <w:numPr>
        <w:ilvl w:val="1"/>
        <w:numId w:val="22"/>
      </w:numPr>
    </w:pPr>
  </w:style>
  <w:style w:type="paragraph" w:customStyle="1" w:styleId="PullOutBoxNumber3">
    <w:name w:val="Pull Out Box Number 3"/>
    <w:basedOn w:val="PullOutBoxBodyText"/>
    <w:rsid w:val="00961DBB"/>
    <w:pPr>
      <w:numPr>
        <w:ilvl w:val="2"/>
        <w:numId w:val="22"/>
      </w:numPr>
    </w:pPr>
  </w:style>
  <w:style w:type="table" w:customStyle="1" w:styleId="PullOutBoxTable">
    <w:name w:val="Pull Out Box Table"/>
    <w:basedOn w:val="TableNormal"/>
    <w:uiPriority w:val="99"/>
    <w:rsid w:val="00961DBB"/>
    <w:rPr>
      <w:rFonts w:eastAsia="Times New Roman" w:cs="Arial"/>
    </w:rPr>
    <w:tblPr>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CellMar>
        <w:top w:w="28" w:type="dxa"/>
        <w:left w:w="0" w:type="dxa"/>
        <w:bottom w:w="28" w:type="dxa"/>
        <w:right w:w="0" w:type="dxa"/>
      </w:tblCellMar>
    </w:tblPr>
    <w:tcPr>
      <w:shd w:val="clear" w:color="auto" w:fill="D7DDE9"/>
    </w:tcPr>
  </w:style>
  <w:style w:type="paragraph" w:styleId="Quote">
    <w:name w:val="Quote"/>
    <w:basedOn w:val="Normal"/>
    <w:link w:val="QuoteChar"/>
    <w:uiPriority w:val="5"/>
    <w:qFormat/>
    <w:rsid w:val="00961DBB"/>
    <w:pPr>
      <w:tabs>
        <w:tab w:val="left" w:pos="1134"/>
      </w:tabs>
      <w:spacing w:before="240" w:after="240"/>
      <w:ind w:left="284"/>
    </w:pPr>
    <w:rPr>
      <w:i/>
      <w:iCs/>
    </w:rPr>
  </w:style>
  <w:style w:type="character" w:customStyle="1" w:styleId="QuoteChar">
    <w:name w:val="Quote Char"/>
    <w:link w:val="Quote"/>
    <w:uiPriority w:val="5"/>
    <w:rsid w:val="000E266E"/>
    <w:rPr>
      <w:i/>
      <w:iCs/>
    </w:rPr>
  </w:style>
  <w:style w:type="paragraph" w:customStyle="1" w:styleId="QuoteBullet">
    <w:name w:val="Quote Bullet"/>
    <w:basedOn w:val="Quote"/>
    <w:rsid w:val="00961DBB"/>
    <w:pPr>
      <w:numPr>
        <w:numId w:val="24"/>
      </w:numPr>
    </w:pPr>
  </w:style>
  <w:style w:type="paragraph" w:customStyle="1" w:styleId="QuoteBullet2">
    <w:name w:val="Quote Bullet 2"/>
    <w:basedOn w:val="Quote"/>
    <w:rsid w:val="00961DBB"/>
    <w:pPr>
      <w:numPr>
        <w:ilvl w:val="1"/>
        <w:numId w:val="24"/>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Georgia" w:hAnsi="Georgia"/>
      <w:noProof/>
      <w:color w:val="2B3B5F"/>
      <w:sz w:val="50"/>
      <w:szCs w:val="40"/>
    </w:rPr>
  </w:style>
  <w:style w:type="character" w:customStyle="1" w:styleId="SectionSubtitle">
    <w:name w:val="Section Subtitle"/>
    <w:rsid w:val="00E45766"/>
    <w:rPr>
      <w:color w:val="751D71"/>
      <w:sz w:val="40"/>
    </w:rPr>
  </w:style>
  <w:style w:type="paragraph" w:styleId="Subtitle">
    <w:name w:val="Subtitle"/>
    <w:basedOn w:val="Normal"/>
    <w:next w:val="Normal"/>
    <w:link w:val="SubtitleChar"/>
    <w:rsid w:val="00961DBB"/>
    <w:pPr>
      <w:numPr>
        <w:ilvl w:val="1"/>
      </w:numPr>
    </w:pPr>
    <w:rPr>
      <w:rFonts w:ascii="Georgia" w:eastAsia="Times New Roman" w:hAnsi="Georgia"/>
      <w:iCs/>
      <w:spacing w:val="15"/>
    </w:rPr>
  </w:style>
  <w:style w:type="character" w:customStyle="1" w:styleId="SubtitleChar">
    <w:name w:val="Subtitle Char"/>
    <w:link w:val="Subtitle"/>
    <w:rsid w:val="000E266E"/>
    <w:rPr>
      <w:rFonts w:ascii="Georgia" w:eastAsia="Times New Roman" w:hAnsi="Georgia" w:cs="Times New Roman"/>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rPr>
    <w:tblPr>
      <w:tblCellMar>
        <w:left w:w="0" w:type="dxa"/>
        <w:right w:w="0" w:type="dxa"/>
      </w:tblCellMar>
    </w:tblPr>
  </w:style>
  <w:style w:type="paragraph" w:customStyle="1" w:styleId="TableFootnotes">
    <w:name w:val="Table Footnotes"/>
    <w:basedOn w:val="Normal"/>
    <w:rsid w:val="00035ADE"/>
    <w:pPr>
      <w:keepLines/>
      <w:numPr>
        <w:numId w:val="25"/>
      </w:numPr>
      <w:spacing w:after="50"/>
    </w:pPr>
    <w:rPr>
      <w:color w:val="788184"/>
      <w:sz w:val="20"/>
    </w:rPr>
  </w:style>
  <w:style w:type="table" w:styleId="TableGrid">
    <w:name w:val="Table Grid"/>
    <w:basedOn w:val="TableNormal"/>
    <w:uiPriority w:val="59"/>
    <w:rsid w:val="00F85D29"/>
    <w:pPr>
      <w:spacing w:before="70" w:after="70" w:line="260" w:lineRule="atLeast"/>
      <w:ind w:left="113" w:right="113"/>
    </w:pPr>
    <w:rPr>
      <w:rFonts w:eastAsia="Times New Roman"/>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TableHeading">
    <w:name w:val="Table Heading"/>
    <w:basedOn w:val="Normal"/>
    <w:rsid w:val="0048342E"/>
    <w:pPr>
      <w:keepNext/>
      <w:keepLines/>
      <w:spacing w:before="70" w:after="70" w:line="260" w:lineRule="atLeast"/>
      <w:ind w:left="113" w:right="113"/>
    </w:pPr>
    <w:rPr>
      <w:b/>
      <w:color w:val="FFFFFF"/>
      <w:sz w:val="20"/>
    </w:rPr>
  </w:style>
  <w:style w:type="paragraph" w:customStyle="1" w:styleId="TableHeadingCentred">
    <w:name w:val="Table Heading Centred"/>
    <w:basedOn w:val="TableHeading"/>
    <w:rsid w:val="00956D5A"/>
    <w:pPr>
      <w:jc w:val="center"/>
    </w:pPr>
    <w:rPr>
      <w:color w:val="auto"/>
    </w:rPr>
  </w:style>
  <w:style w:type="paragraph" w:customStyle="1" w:styleId="TableHeadingRight">
    <w:name w:val="Table Heading Right"/>
    <w:basedOn w:val="TableHeading"/>
    <w:rsid w:val="00956D5A"/>
    <w:pPr>
      <w:jc w:val="right"/>
    </w:pPr>
  </w:style>
  <w:style w:type="paragraph" w:customStyle="1" w:styleId="Source">
    <w:name w:val="Source"/>
    <w:basedOn w:val="Normal"/>
    <w:next w:val="BodyText17ptAbove"/>
    <w:rsid w:val="00035ADE"/>
    <w:pPr>
      <w:spacing w:before="180" w:after="114"/>
      <w:contextualSpacing/>
    </w:pPr>
    <w:rPr>
      <w:color w:val="788184"/>
      <w:sz w:val="20"/>
      <w:szCs w:val="14"/>
    </w:rPr>
  </w:style>
  <w:style w:type="paragraph" w:customStyle="1" w:styleId="TableText">
    <w:name w:val="Table Text"/>
    <w:basedOn w:val="Normal"/>
    <w:rsid w:val="0048342E"/>
    <w:pPr>
      <w:spacing w:before="70" w:after="70" w:line="260" w:lineRule="atLeast"/>
      <w:ind w:left="113" w:right="113"/>
    </w:pPr>
    <w:rPr>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28"/>
      </w:numPr>
    </w:pPr>
  </w:style>
  <w:style w:type="paragraph" w:customStyle="1" w:styleId="TableTextBullet2">
    <w:name w:val="Table Text Bullet 2"/>
    <w:basedOn w:val="TableTextBullet"/>
    <w:rsid w:val="00961DBB"/>
    <w:pPr>
      <w:numPr>
        <w:ilvl w:val="1"/>
      </w:numPr>
    </w:pPr>
    <w:rPr>
      <w:bCs/>
    </w:rPr>
  </w:style>
  <w:style w:type="paragraph" w:customStyle="1" w:styleId="TableTextBullet3">
    <w:name w:val="Table Text Bullet 3"/>
    <w:basedOn w:val="TableTextBullet2"/>
    <w:rsid w:val="00961DBB"/>
    <w:pPr>
      <w:numPr>
        <w:ilvl w:val="2"/>
      </w:numPr>
    </w:pPr>
    <w:rPr>
      <w:bCs w:val="0"/>
    </w:rPr>
  </w:style>
  <w:style w:type="paragraph" w:customStyle="1" w:styleId="TableTextNumber">
    <w:name w:val="Table Text Number"/>
    <w:basedOn w:val="TableText"/>
    <w:rsid w:val="00961DBB"/>
    <w:pPr>
      <w:numPr>
        <w:numId w:val="31"/>
      </w:numPr>
    </w:pPr>
  </w:style>
  <w:style w:type="paragraph" w:customStyle="1" w:styleId="TableTextNumber2">
    <w:name w:val="Table Text Number 2"/>
    <w:basedOn w:val="TableTextNumber"/>
    <w:rsid w:val="00961DBB"/>
    <w:pPr>
      <w:numPr>
        <w:ilvl w:val="1"/>
      </w:numPr>
      <w:tabs>
        <w:tab w:val="clear" w:pos="709"/>
        <w:tab w:val="num" w:pos="680"/>
      </w:tabs>
      <w:ind w:left="680"/>
    </w:pPr>
  </w:style>
  <w:style w:type="paragraph" w:customStyle="1" w:styleId="TableTextNumber3">
    <w:name w:val="Table Text Number 3"/>
    <w:basedOn w:val="TableTextNumber2"/>
    <w:rsid w:val="00961DBB"/>
    <w:pPr>
      <w:numPr>
        <w:ilvl w:val="2"/>
      </w:numPr>
    </w:pPr>
  </w:style>
  <w:style w:type="paragraph" w:customStyle="1" w:styleId="TableTextRight">
    <w:name w:val="Table Text Right"/>
    <w:basedOn w:val="TableTex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Georgia" w:eastAsia="Times New Roman" w:hAnsi="Georgia"/>
      <w:color w:val="2B3B5F"/>
      <w:spacing w:val="-2"/>
      <w:sz w:val="50"/>
      <w:szCs w:val="50"/>
    </w:rPr>
  </w:style>
  <w:style w:type="character" w:customStyle="1" w:styleId="TitleChar">
    <w:name w:val="Title Char"/>
    <w:link w:val="Title"/>
    <w:rsid w:val="000E266E"/>
    <w:rPr>
      <w:rFonts w:ascii="Georgia" w:eastAsia="Times New Roman" w:hAnsi="Georgia" w:cs="Times New Roman"/>
      <w:color w:val="2B3B5F"/>
      <w:spacing w:val="-2"/>
      <w:sz w:val="50"/>
      <w:szCs w:val="50"/>
    </w:rPr>
  </w:style>
  <w:style w:type="paragraph" w:customStyle="1" w:styleId="Title2">
    <w:name w:val="Title 2"/>
    <w:basedOn w:val="Normal"/>
    <w:link w:val="Title2Char"/>
    <w:rsid w:val="00C8728F"/>
    <w:pPr>
      <w:spacing w:after="250"/>
      <w:ind w:left="397"/>
      <w:jc w:val="right"/>
    </w:pPr>
    <w:rPr>
      <w:rFonts w:ascii="Georgia" w:hAnsi="Georgia"/>
      <w:color w:val="FFFFFF"/>
      <w:spacing w:val="-2"/>
      <w:sz w:val="32"/>
    </w:rPr>
  </w:style>
  <w:style w:type="character" w:customStyle="1" w:styleId="Title2Char">
    <w:name w:val="Title 2 Char"/>
    <w:link w:val="Title2"/>
    <w:rsid w:val="000E266E"/>
    <w:rPr>
      <w:rFonts w:ascii="Georgia" w:hAnsi="Georgia"/>
      <w:color w:val="FFFFFF"/>
      <w:spacing w:val="-2"/>
      <w:sz w:val="32"/>
    </w:rPr>
  </w:style>
  <w:style w:type="paragraph" w:customStyle="1" w:styleId="Title3">
    <w:name w:val="Title 3"/>
    <w:basedOn w:val="Title2"/>
    <w:rsid w:val="00195228"/>
    <w:pPr>
      <w:framePr w:wrap="auto" w:vAnchor="page" w:hAnchor="margin" w:y="5779"/>
    </w:pPr>
    <w:rPr>
      <w:rFonts w:asciiTheme="majorHAnsi" w:eastAsia="Times New Roman" w:hAnsiTheme="majorHAnsi" w:cs="Arial"/>
      <w:i/>
      <w:spacing w:val="8"/>
      <w:lang w:eastAsia="en-AU"/>
    </w:rPr>
  </w:style>
  <w:style w:type="paragraph" w:styleId="TOC1">
    <w:name w:val="toc 1"/>
    <w:basedOn w:val="Normal"/>
    <w:next w:val="Normal"/>
    <w:rsid w:val="001B2C65"/>
    <w:pPr>
      <w:tabs>
        <w:tab w:val="right" w:leader="underscore" w:pos="8164"/>
      </w:tabs>
      <w:spacing w:after="227"/>
      <w:ind w:right="851"/>
    </w:pPr>
    <w:rPr>
      <w:b/>
      <w:noProof/>
      <w:color w:val="2B3B5F"/>
    </w:rPr>
  </w:style>
  <w:style w:type="paragraph" w:styleId="TOC2">
    <w:name w:val="toc 2"/>
    <w:basedOn w:val="Normal"/>
    <w:next w:val="Normal"/>
    <w:rsid w:val="001B2C65"/>
    <w:pPr>
      <w:tabs>
        <w:tab w:val="right" w:leader="underscore" w:pos="8164"/>
      </w:tabs>
      <w:spacing w:after="227"/>
      <w:ind w:left="454" w:right="851"/>
    </w:pPr>
    <w:rPr>
      <w:noProof/>
      <w:szCs w:val="28"/>
    </w:rPr>
  </w:style>
  <w:style w:type="paragraph" w:styleId="TOC3">
    <w:name w:val="toc 3"/>
    <w:basedOn w:val="Normal"/>
    <w:next w:val="Normal"/>
    <w:rsid w:val="001B2C65"/>
    <w:pPr>
      <w:tabs>
        <w:tab w:val="right" w:leader="underscore" w:pos="8164"/>
      </w:tabs>
      <w:spacing w:after="227"/>
      <w:ind w:left="907" w:right="851"/>
    </w:pPr>
    <w:rPr>
      <w:rFonts w:eastAsia="Times New Roman"/>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Georgia" w:hAnsi="Georgia"/>
      <w:color w:val="2B3B5F"/>
      <w:sz w:val="40"/>
      <w:szCs w:val="40"/>
    </w:rPr>
  </w:style>
  <w:style w:type="paragraph" w:customStyle="1" w:styleId="TOFHeading">
    <w:name w:val="TOF Heading"/>
    <w:basedOn w:val="Normal"/>
    <w:rsid w:val="00961DBB"/>
    <w:pPr>
      <w:keepNext/>
      <w:tabs>
        <w:tab w:val="left" w:pos="2268"/>
      </w:tabs>
      <w:spacing w:before="300" w:after="120"/>
    </w:pPr>
    <w:rPr>
      <w:color w:val="2B3B5F"/>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link w:val="xDisclaimerHeading"/>
    <w:rsid w:val="000E266E"/>
    <w:rPr>
      <w:b/>
    </w:rPr>
  </w:style>
  <w:style w:type="paragraph" w:customStyle="1" w:styleId="xDisclaimerText">
    <w:name w:val="xDisclaimer Text"/>
    <w:basedOn w:val="Normal"/>
    <w:rsid w:val="00961DBB"/>
    <w:pPr>
      <w:spacing w:after="57" w:line="302" w:lineRule="atLeast"/>
    </w:p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link w:val="xDisclaimerHeadingwithxDisclaimerText"/>
    <w:rsid w:val="000E266E"/>
    <w:rPr>
      <w:b/>
    </w:rPr>
  </w:style>
  <w:style w:type="character" w:styleId="Hyperlink">
    <w:name w:val="Hyperlink"/>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Georgia" w:hAnsi="Georgia"/>
      <w:color w:val="FFFFFF"/>
      <w:spacing w:val="-6"/>
      <w:sz w:val="40"/>
      <w:szCs w:val="36"/>
    </w:rPr>
  </w:style>
  <w:style w:type="paragraph" w:customStyle="1" w:styleId="Heading1NoNumbering">
    <w:name w:val="Heading 1 No Numbering"/>
    <w:basedOn w:val="Heading1"/>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Letterfooter">
    <w:name w:val="Letter footer"/>
    <w:basedOn w:val="Footer"/>
    <w:rsid w:val="009A02EF"/>
    <w:pPr>
      <w:tabs>
        <w:tab w:val="center" w:pos="4513"/>
        <w:tab w:val="right" w:pos="9026"/>
      </w:tabs>
      <w:ind w:right="-618" w:hanging="709"/>
    </w:pPr>
    <w:rPr>
      <w:rFonts w:cs="Arial"/>
      <w:b/>
      <w:szCs w:val="17"/>
    </w:rPr>
  </w:style>
  <w:style w:type="paragraph" w:customStyle="1" w:styleId="PBOheader">
    <w:name w:val="PBO header"/>
    <w:basedOn w:val="Header"/>
    <w:rsid w:val="009A02EF"/>
    <w:pPr>
      <w:spacing w:before="480"/>
      <w:ind w:left="6521"/>
    </w:pPr>
    <w:rPr>
      <w:rFonts w:cs="Arial"/>
      <w:b w:val="0"/>
      <w:szCs w:val="18"/>
    </w:rPr>
  </w:style>
  <w:style w:type="paragraph" w:customStyle="1" w:styleId="Default">
    <w:name w:val="Default"/>
    <w:rsid w:val="00B1601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uiPriority="9" w:qFormat="1"/>
    <w:lsdException w:name="heading 3"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qFormat="1"/>
    <w:lsdException w:name="footer" w:uiPriority="99" w:qFormat="1"/>
    <w:lsdException w:name="caption" w:qFormat="1"/>
    <w:lsdException w:name="table of figures" w:semiHidden="0" w:uiPriority="99" w:unhideWhenUsed="0"/>
    <w:lsdException w:name="List Bullet" w:qFormat="1"/>
    <w:lsdException w:name="List Number" w:qFormat="1"/>
    <w:lsdException w:name="List Bullet 2" w:qFormat="1"/>
    <w:lsdException w:name="List Bullet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iPriority="5"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rsid w:val="000E266E"/>
    <w:pPr>
      <w:spacing w:line="300" w:lineRule="atLeast"/>
    </w:pPr>
    <w:rPr>
      <w:sz w:val="22"/>
      <w:szCs w:val="22"/>
      <w:lang w:eastAsia="en-US"/>
    </w:rPr>
  </w:style>
  <w:style w:type="paragraph" w:styleId="Heading1">
    <w:name w:val="heading 1"/>
    <w:basedOn w:val="Normal"/>
    <w:next w:val="BodyText"/>
    <w:link w:val="Heading1Char"/>
    <w:qFormat/>
    <w:rsid w:val="009F7CC1"/>
    <w:pPr>
      <w:keepNext/>
      <w:keepLines/>
      <w:numPr>
        <w:numId w:val="33"/>
      </w:numPr>
      <w:tabs>
        <w:tab w:val="right" w:pos="1418"/>
        <w:tab w:val="right" w:pos="1701"/>
        <w:tab w:val="right" w:pos="1985"/>
      </w:tabs>
      <w:spacing w:before="680" w:after="480" w:line="240" w:lineRule="auto"/>
      <w:jc w:val="center"/>
      <w:outlineLvl w:val="0"/>
    </w:pPr>
    <w:rPr>
      <w:rFonts w:ascii="Georgia" w:hAnsi="Georgia"/>
      <w:bCs/>
      <w:color w:val="2B3B5F"/>
      <w:spacing w:val="-6"/>
      <w:kern w:val="32"/>
      <w:sz w:val="36"/>
      <w:szCs w:val="32"/>
    </w:rPr>
  </w:style>
  <w:style w:type="paragraph" w:styleId="Heading2">
    <w:name w:val="heading 2"/>
    <w:basedOn w:val="Normal"/>
    <w:next w:val="BodyText"/>
    <w:link w:val="Heading2Char"/>
    <w:uiPriority w:val="9"/>
    <w:qFormat/>
    <w:rsid w:val="00064E89"/>
    <w:pPr>
      <w:keepNext/>
      <w:keepLines/>
      <w:numPr>
        <w:ilvl w:val="1"/>
        <w:numId w:val="33"/>
      </w:numPr>
      <w:tabs>
        <w:tab w:val="left" w:pos="1418"/>
        <w:tab w:val="left" w:pos="1701"/>
        <w:tab w:val="left" w:pos="1985"/>
      </w:tabs>
      <w:spacing w:before="470" w:after="227"/>
      <w:outlineLvl w:val="1"/>
    </w:pPr>
    <w:rPr>
      <w:rFonts w:ascii="Georgia" w:hAnsi="Georgia"/>
      <w:bCs/>
      <w:iCs/>
      <w:color w:val="2B3B5F"/>
      <w:kern w:val="20"/>
      <w:sz w:val="28"/>
      <w:szCs w:val="28"/>
    </w:rPr>
  </w:style>
  <w:style w:type="paragraph" w:styleId="Heading3">
    <w:name w:val="heading 3"/>
    <w:basedOn w:val="Normal"/>
    <w:next w:val="BodyText"/>
    <w:link w:val="Heading3Char"/>
    <w:uiPriority w:val="9"/>
    <w:qFormat/>
    <w:rsid w:val="00064E89"/>
    <w:pPr>
      <w:keepNext/>
      <w:keepLines/>
      <w:numPr>
        <w:ilvl w:val="2"/>
        <w:numId w:val="33"/>
      </w:numPr>
      <w:tabs>
        <w:tab w:val="left" w:pos="1418"/>
        <w:tab w:val="left" w:pos="1701"/>
        <w:tab w:val="left" w:pos="1985"/>
      </w:tabs>
      <w:spacing w:before="470" w:after="227"/>
      <w:outlineLvl w:val="2"/>
    </w:pPr>
    <w:rPr>
      <w:b/>
      <w:color w:val="2B3B5F"/>
      <w:sz w:val="24"/>
      <w:szCs w:val="26"/>
    </w:rPr>
  </w:style>
  <w:style w:type="paragraph" w:styleId="Heading4">
    <w:name w:val="heading 4"/>
    <w:basedOn w:val="Normal"/>
    <w:next w:val="BodyText"/>
    <w:link w:val="Heading4Char"/>
    <w:rsid w:val="00B620EE"/>
    <w:pPr>
      <w:keepNext/>
      <w:keepLines/>
      <w:tabs>
        <w:tab w:val="left" w:pos="1418"/>
        <w:tab w:val="left" w:pos="1701"/>
        <w:tab w:val="left" w:pos="1985"/>
      </w:tabs>
      <w:spacing w:before="227" w:after="113"/>
      <w:outlineLvl w:val="3"/>
    </w:pPr>
    <w:rPr>
      <w:rFonts w:eastAsia="Times New Roman"/>
      <w:b/>
      <w:bCs/>
      <w:i/>
      <w:iCs/>
      <w:color w:val="2B3B5F"/>
      <w:sz w:val="24"/>
    </w:rPr>
  </w:style>
  <w:style w:type="paragraph" w:styleId="Heading5">
    <w:name w:val="heading 5"/>
    <w:basedOn w:val="Normal"/>
    <w:next w:val="BodyText"/>
    <w:link w:val="Heading5Char"/>
    <w:rsid w:val="00B620EE"/>
    <w:pPr>
      <w:keepNext/>
      <w:keepLines/>
      <w:spacing w:before="180" w:after="60"/>
      <w:outlineLvl w:val="4"/>
    </w:pPr>
    <w:rPr>
      <w:rFonts w:ascii="Georgia" w:eastAsia="Times New Roman" w:hAnsi="Georgia"/>
      <w:i/>
      <w:color w:val="636366"/>
      <w:sz w:val="24"/>
    </w:rPr>
  </w:style>
  <w:style w:type="paragraph" w:styleId="Heading6">
    <w:name w:val="heading 6"/>
    <w:basedOn w:val="Normal"/>
    <w:next w:val="BodyText"/>
    <w:link w:val="Heading6Char"/>
    <w:rsid w:val="00B620EE"/>
    <w:pPr>
      <w:keepNext/>
      <w:keepLines/>
      <w:spacing w:before="280" w:after="240"/>
      <w:outlineLvl w:val="5"/>
    </w:pPr>
    <w:rPr>
      <w:rFonts w:ascii="Georgia" w:eastAsia="Times New Roman" w:hAnsi="Georgia"/>
      <w:i/>
      <w:iCs/>
      <w:color w:val="2B3B5F"/>
      <w:sz w:val="24"/>
    </w:rPr>
  </w:style>
  <w:style w:type="paragraph" w:styleId="Heading7">
    <w:name w:val="heading 7"/>
    <w:basedOn w:val="Normal"/>
    <w:next w:val="Normal"/>
    <w:link w:val="Heading7Char"/>
    <w:semiHidden/>
    <w:rsid w:val="00961DBB"/>
    <w:pPr>
      <w:keepNext/>
      <w:keepLines/>
      <w:spacing w:before="2820" w:after="180"/>
      <w:outlineLvl w:val="6"/>
    </w:pPr>
    <w:rPr>
      <w:rFonts w:ascii="Georgia" w:eastAsia="Times New Roman" w:hAnsi="Georgia"/>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Georgia" w:eastAsia="Times New Roman" w:hAnsi="Georgia"/>
      <w:color w:val="2B3B5F"/>
      <w:sz w:val="40"/>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Georgia" w:hAnsi="Georgia"/>
      <w:color w:val="2B3B5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link w:val="FootnoteText"/>
    <w:rsid w:val="000E266E"/>
    <w:rPr>
      <w:kern w:val="16"/>
      <w:sz w:val="18"/>
    </w:rPr>
  </w:style>
  <w:style w:type="character" w:styleId="FootnoteReference">
    <w:name w:val="footnote reference"/>
    <w:rsid w:val="00961DBB"/>
    <w:rPr>
      <w:rFonts w:ascii="Calibri" w:hAnsi="Calibri"/>
      <w:color w:val="auto"/>
      <w:vertAlign w:val="superscript"/>
    </w:rPr>
  </w:style>
  <w:style w:type="paragraph" w:styleId="BodyText">
    <w:name w:val="Body Text"/>
    <w:basedOn w:val="Normal"/>
    <w:link w:val="BodyTextChar"/>
    <w:qFormat/>
    <w:rsid w:val="009A02EF"/>
    <w:pPr>
      <w:spacing w:before="240"/>
    </w:pPr>
    <w:rPr>
      <w:spacing w:val="-1"/>
      <w:sz w:val="24"/>
    </w:rPr>
  </w:style>
  <w:style w:type="character" w:customStyle="1" w:styleId="BodyTextChar">
    <w:name w:val="Body Text Char"/>
    <w:link w:val="BodyText"/>
    <w:rsid w:val="009A02EF"/>
    <w:rPr>
      <w:rFonts w:cs="Times New Roman"/>
      <w:spacing w:val="-1"/>
      <w:sz w:val="24"/>
    </w:rPr>
  </w:style>
  <w:style w:type="paragraph" w:customStyle="1" w:styleId="BodyText17ptAbove">
    <w:name w:val="Body Text 17pt Above"/>
    <w:basedOn w:val="BodyText"/>
    <w:next w:val="BodyText"/>
    <w:rsid w:val="00961DBB"/>
    <w:pPr>
      <w:spacing w:before="340"/>
    </w:pPr>
  </w:style>
  <w:style w:type="character" w:customStyle="1" w:styleId="Heading1Char">
    <w:name w:val="Heading 1 Char"/>
    <w:link w:val="Heading1"/>
    <w:rsid w:val="009F7CC1"/>
    <w:rPr>
      <w:rFonts w:ascii="Georgia" w:hAnsi="Georgia"/>
      <w:bCs/>
      <w:color w:val="2B3B5F"/>
      <w:spacing w:val="-6"/>
      <w:kern w:val="32"/>
      <w:sz w:val="36"/>
      <w:szCs w:val="32"/>
      <w:lang w:eastAsia="en-US"/>
    </w:rPr>
  </w:style>
  <w:style w:type="character" w:customStyle="1" w:styleId="Heading2Char">
    <w:name w:val="Heading 2 Char"/>
    <w:link w:val="Heading2"/>
    <w:rsid w:val="00064E89"/>
    <w:rPr>
      <w:rFonts w:ascii="Georgia" w:hAnsi="Georgia"/>
      <w:bCs/>
      <w:iCs/>
      <w:color w:val="2B3B5F"/>
      <w:kern w:val="20"/>
      <w:sz w:val="28"/>
      <w:szCs w:val="28"/>
    </w:rPr>
  </w:style>
  <w:style w:type="character" w:customStyle="1" w:styleId="Heading3Char">
    <w:name w:val="Heading 3 Char"/>
    <w:link w:val="Heading3"/>
    <w:rsid w:val="00064E89"/>
    <w:rPr>
      <w:b/>
      <w:color w:val="2B3B5F"/>
      <w:sz w:val="24"/>
      <w:szCs w:val="26"/>
    </w:rPr>
  </w:style>
  <w:style w:type="character" w:customStyle="1" w:styleId="Heading4Char">
    <w:name w:val="Heading 4 Char"/>
    <w:link w:val="Heading4"/>
    <w:rsid w:val="000E266E"/>
    <w:rPr>
      <w:rFonts w:eastAsia="Times New Roman" w:cs="Times New Roman"/>
      <w:b/>
      <w:bCs/>
      <w:i/>
      <w:iCs/>
      <w:color w:val="2B3B5F"/>
      <w:sz w:val="24"/>
    </w:rPr>
  </w:style>
  <w:style w:type="character" w:customStyle="1" w:styleId="Heading5Char">
    <w:name w:val="Heading 5 Char"/>
    <w:link w:val="Heading5"/>
    <w:rsid w:val="000E266E"/>
    <w:rPr>
      <w:rFonts w:ascii="Georgia" w:eastAsia="Times New Roman" w:hAnsi="Georgia" w:cs="Times New Roman"/>
      <w:i/>
      <w:color w:val="636366"/>
      <w:sz w:val="24"/>
    </w:rPr>
  </w:style>
  <w:style w:type="character" w:customStyle="1" w:styleId="Heading6Char">
    <w:name w:val="Heading 6 Char"/>
    <w:link w:val="Heading6"/>
    <w:rsid w:val="000E266E"/>
    <w:rPr>
      <w:rFonts w:ascii="Georgia" w:eastAsia="Times New Roman" w:hAnsi="Georgia" w:cs="Times New Roman"/>
      <w:i/>
      <w:iCs/>
      <w:color w:val="2B3B5F"/>
      <w:sz w:val="24"/>
    </w:rPr>
  </w:style>
  <w:style w:type="character" w:customStyle="1" w:styleId="Heading7Char">
    <w:name w:val="Heading 7 Char"/>
    <w:link w:val="Heading7"/>
    <w:semiHidden/>
    <w:rsid w:val="000E266E"/>
    <w:rPr>
      <w:rFonts w:ascii="Georgia" w:eastAsia="Times New Roman" w:hAnsi="Georgia" w:cs="Times New Roman"/>
      <w:b/>
      <w:iCs/>
      <w:color w:val="FFFFFF"/>
    </w:rPr>
  </w:style>
  <w:style w:type="character" w:customStyle="1" w:styleId="Heading8Char">
    <w:name w:val="Heading 8 Char"/>
    <w:aliases w:val="Appendix Title Char"/>
    <w:link w:val="Heading8"/>
    <w:rsid w:val="000E266E"/>
    <w:rPr>
      <w:rFonts w:ascii="Georgia" w:eastAsia="Times New Roman" w:hAnsi="Georgia" w:cs="Times New Roman"/>
      <w:color w:val="2B3B5F"/>
      <w:sz w:val="40"/>
    </w:rPr>
  </w:style>
  <w:style w:type="character" w:customStyle="1" w:styleId="Heading9Char">
    <w:name w:val="Heading 9 Char"/>
    <w:aliases w:val="Appendix Heading 1 Char"/>
    <w:link w:val="Heading9"/>
    <w:rsid w:val="000E266E"/>
    <w:rPr>
      <w:rFonts w:ascii="Georgia" w:hAnsi="Georgia"/>
      <w:color w:val="2B3B5F"/>
      <w:sz w:val="32"/>
    </w:r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Georgia" w:hAnsi="Georgia"/>
      <w:color w:val="2B3B5F"/>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spacing w:val="-4"/>
    </w:rPr>
  </w:style>
  <w:style w:type="paragraph" w:styleId="Footer">
    <w:name w:val="footer"/>
    <w:basedOn w:val="Normal"/>
    <w:link w:val="FooterChar"/>
    <w:uiPriority w:val="99"/>
    <w:qFormat/>
    <w:rsid w:val="009A02EF"/>
    <w:pPr>
      <w:spacing w:before="113" w:after="113" w:line="240" w:lineRule="auto"/>
      <w:jc w:val="center"/>
    </w:pPr>
    <w:rPr>
      <w:rFonts w:ascii="Arial" w:hAnsi="Arial"/>
      <w:sz w:val="17"/>
    </w:rPr>
  </w:style>
  <w:style w:type="character" w:customStyle="1" w:styleId="FooterChar">
    <w:name w:val="Footer Char"/>
    <w:link w:val="Footer"/>
    <w:uiPriority w:val="99"/>
    <w:rsid w:val="009A02EF"/>
    <w:rPr>
      <w:rFonts w:ascii="Arial" w:hAnsi="Arial"/>
      <w:sz w:val="17"/>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pBdr>
      <w:spacing w:before="120" w:line="120" w:lineRule="exact"/>
    </w:pPr>
    <w:rPr>
      <w:sz w:val="14"/>
      <w:szCs w:val="16"/>
    </w:rPr>
  </w:style>
  <w:style w:type="paragraph" w:styleId="Header">
    <w:name w:val="header"/>
    <w:basedOn w:val="Normal"/>
    <w:link w:val="HeaderChar"/>
    <w:uiPriority w:val="99"/>
    <w:qFormat/>
    <w:rsid w:val="00D36366"/>
    <w:pPr>
      <w:spacing w:before="720" w:after="1200" w:line="240" w:lineRule="auto"/>
      <w:ind w:left="5783"/>
    </w:pPr>
    <w:rPr>
      <w:rFonts w:asciiTheme="minorHAnsi" w:hAnsiTheme="minorHAnsi"/>
      <w:b/>
      <w:sz w:val="19"/>
      <w:szCs w:val="19"/>
    </w:rPr>
  </w:style>
  <w:style w:type="character" w:customStyle="1" w:styleId="HeaderChar">
    <w:name w:val="Header Char"/>
    <w:link w:val="Header"/>
    <w:uiPriority w:val="99"/>
    <w:rsid w:val="00D36366"/>
    <w:rPr>
      <w:rFonts w:asciiTheme="minorHAnsi" w:hAnsiTheme="minorHAnsi"/>
      <w:b/>
      <w:sz w:val="19"/>
      <w:szCs w:val="19"/>
      <w:lang w:eastAsia="en-US"/>
    </w:rPr>
  </w:style>
  <w:style w:type="paragraph" w:customStyle="1" w:styleId="HighlightText">
    <w:name w:val="Highlight Text"/>
    <w:basedOn w:val="Normal"/>
    <w:rsid w:val="00961DBB"/>
    <w:pPr>
      <w:spacing w:before="120" w:after="420"/>
    </w:pPr>
    <w:rPr>
      <w:i/>
      <w:color w:val="2B3B5F"/>
      <w:spacing w:val="-1"/>
    </w:rPr>
  </w:style>
  <w:style w:type="paragraph" w:customStyle="1" w:styleId="Introduction">
    <w:name w:val="Introduction"/>
    <w:basedOn w:val="Normal"/>
    <w:next w:val="BodyText"/>
    <w:rsid w:val="00961DBB"/>
    <w:pPr>
      <w:spacing w:after="180" w:line="360" w:lineRule="atLeast"/>
    </w:pPr>
    <w:rPr>
      <w:color w:val="2B3B5F"/>
      <w:spacing w:val="-2"/>
      <w:sz w:val="30"/>
    </w:rPr>
  </w:style>
  <w:style w:type="character" w:customStyle="1" w:styleId="Italics">
    <w:name w:val="Italics"/>
    <w:rsid w:val="00961DBB"/>
    <w:rPr>
      <w:i/>
    </w:rPr>
  </w:style>
  <w:style w:type="paragraph" w:styleId="ListBullet">
    <w:name w:val="List Bullet"/>
    <w:basedOn w:val="Normal"/>
    <w:unhideWhenUsed/>
    <w:qFormat/>
    <w:rsid w:val="00187A07"/>
    <w:pPr>
      <w:keepLines/>
      <w:numPr>
        <w:numId w:val="6"/>
      </w:numPr>
      <w:tabs>
        <w:tab w:val="clear" w:pos="454"/>
        <w:tab w:val="num" w:pos="907"/>
      </w:tabs>
      <w:spacing w:before="60" w:after="60"/>
      <w:ind w:left="680" w:hanging="340"/>
    </w:pPr>
    <w:rPr>
      <w:rFonts w:asciiTheme="minorHAnsi" w:hAnsiTheme="minorHAnsi"/>
      <w:spacing w:val="-1"/>
      <w:sz w:val="24"/>
      <w:szCs w:val="24"/>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qFormat/>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12"/>
      </w:numPr>
      <w:spacing w:before="113" w:after="113"/>
    </w:pPr>
    <w:rPr>
      <w:spacing w:val="-1"/>
    </w:rPr>
  </w:style>
  <w:style w:type="paragraph" w:styleId="ListNumber2">
    <w:name w:val="List Number 2"/>
    <w:basedOn w:val="Normal"/>
    <w:rsid w:val="00961DBB"/>
    <w:pPr>
      <w:numPr>
        <w:ilvl w:val="1"/>
        <w:numId w:val="12"/>
      </w:numPr>
      <w:spacing w:before="113" w:after="113"/>
    </w:pPr>
    <w:rPr>
      <w:spacing w:val="-1"/>
    </w:rPr>
  </w:style>
  <w:style w:type="paragraph" w:styleId="ListNumber3">
    <w:name w:val="List Number 3"/>
    <w:basedOn w:val="Normal"/>
    <w:rsid w:val="00961DBB"/>
    <w:pPr>
      <w:numPr>
        <w:ilvl w:val="2"/>
        <w:numId w:val="1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rPr>
      <w:rFonts w:eastAsia="Times New Roman" w:cs="Arial"/>
      <w:sz w:val="22"/>
      <w:szCs w:val="22"/>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Georgia" w:hAnsi="Georgia"/>
      <w:color w:val="2B3B5F"/>
      <w:sz w:val="32"/>
    </w:rPr>
  </w:style>
  <w:style w:type="paragraph" w:customStyle="1" w:styleId="OverviewHeading3">
    <w:name w:val="Overview Heading 3"/>
    <w:basedOn w:val="OverviewHeading2"/>
    <w:next w:val="OverviewBodyText"/>
    <w:rsid w:val="00512226"/>
    <w:rPr>
      <w:rFonts w:asciiTheme="majorHAnsi" w:hAnsiTheme="majorHAnsi"/>
      <w:color w:val="2B3B5F" w:themeColor="text2"/>
      <w:sz w:val="28"/>
    </w:rPr>
  </w:style>
  <w:style w:type="character" w:styleId="PageNumber">
    <w:name w:val="page number"/>
    <w:semiHidden/>
    <w:rsid w:val="00961DBB"/>
    <w:rPr>
      <w:rFonts w:ascii="Arial" w:hAnsi="Arial"/>
      <w:b/>
      <w:color w:val="auto"/>
      <w:sz w:val="16"/>
    </w:rPr>
  </w:style>
  <w:style w:type="paragraph" w:customStyle="1" w:styleId="PageNumberOdd">
    <w:name w:val="Page Number Odd"/>
    <w:semiHidden/>
    <w:rsid w:val="00961DBB"/>
    <w:pPr>
      <w:spacing w:line="300" w:lineRule="atLeast"/>
      <w:ind w:right="57"/>
      <w:jc w:val="right"/>
    </w:pPr>
    <w:rPr>
      <w:rFonts w:eastAsia="Times New Roman" w:cs="Arial"/>
      <w:b/>
      <w:color w:val="2B3B5F"/>
      <w:sz w:val="14"/>
      <w:szCs w:val="28"/>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rsid w:val="00961DBB"/>
    <w:rPr>
      <w:color w:val="808080"/>
    </w:rPr>
  </w:style>
  <w:style w:type="paragraph" w:customStyle="1" w:styleId="PullOutBoxBodyText">
    <w:name w:val="Pull Out Box Body Text"/>
    <w:basedOn w:val="Normal"/>
    <w:rsid w:val="00961DBB"/>
    <w:pPr>
      <w:spacing w:before="113" w:after="113"/>
      <w:ind w:left="227" w:right="170"/>
    </w:pPr>
    <w:rPr>
      <w:spacing w:val="-1"/>
    </w:rPr>
  </w:style>
  <w:style w:type="paragraph" w:customStyle="1" w:styleId="PullOutBoxBullet">
    <w:name w:val="Pull Out Box Bullet"/>
    <w:basedOn w:val="PullOutBoxBodyText"/>
    <w:rsid w:val="00961DBB"/>
    <w:pPr>
      <w:numPr>
        <w:numId w:val="19"/>
      </w:numPr>
    </w:pPr>
  </w:style>
  <w:style w:type="paragraph" w:customStyle="1" w:styleId="PullOutBoxBullet2">
    <w:name w:val="Pull Out Box Bullet 2"/>
    <w:basedOn w:val="PullOutBoxBodyText"/>
    <w:rsid w:val="00961DBB"/>
    <w:pPr>
      <w:numPr>
        <w:ilvl w:val="1"/>
        <w:numId w:val="19"/>
      </w:numPr>
    </w:pPr>
  </w:style>
  <w:style w:type="paragraph" w:customStyle="1" w:styleId="PullOutBoxBullet3">
    <w:name w:val="Pull Out Box Bullet 3"/>
    <w:basedOn w:val="PullOutBoxBodyText"/>
    <w:rsid w:val="00961DBB"/>
    <w:pPr>
      <w:numPr>
        <w:ilvl w:val="2"/>
        <w:numId w:val="19"/>
      </w:numPr>
    </w:pPr>
  </w:style>
  <w:style w:type="paragraph" w:customStyle="1" w:styleId="PullOutBoxHeading">
    <w:name w:val="Pull Out Box Heading"/>
    <w:basedOn w:val="PullOutBoxBodyText"/>
    <w:rsid w:val="009E446D"/>
    <w:pPr>
      <w:keepNext/>
      <w:keepLines/>
      <w:spacing w:before="114" w:after="114" w:line="360" w:lineRule="atLeast"/>
    </w:pPr>
    <w:rPr>
      <w:b/>
      <w:color w:val="2B3B5F"/>
      <w:sz w:val="28"/>
    </w:rPr>
  </w:style>
  <w:style w:type="paragraph" w:customStyle="1" w:styleId="PullOutBoxNumber">
    <w:name w:val="Pull Out Box Number"/>
    <w:basedOn w:val="PullOutBoxBodyText"/>
    <w:rsid w:val="00961DBB"/>
    <w:pPr>
      <w:numPr>
        <w:numId w:val="22"/>
      </w:numPr>
    </w:pPr>
  </w:style>
  <w:style w:type="paragraph" w:customStyle="1" w:styleId="PullOutBoxNumber2">
    <w:name w:val="Pull Out Box Number 2"/>
    <w:basedOn w:val="PullOutBoxBodyText"/>
    <w:rsid w:val="00961DBB"/>
    <w:pPr>
      <w:numPr>
        <w:ilvl w:val="1"/>
        <w:numId w:val="22"/>
      </w:numPr>
    </w:pPr>
  </w:style>
  <w:style w:type="paragraph" w:customStyle="1" w:styleId="PullOutBoxNumber3">
    <w:name w:val="Pull Out Box Number 3"/>
    <w:basedOn w:val="PullOutBoxBodyText"/>
    <w:rsid w:val="00961DBB"/>
    <w:pPr>
      <w:numPr>
        <w:ilvl w:val="2"/>
        <w:numId w:val="22"/>
      </w:numPr>
    </w:pPr>
  </w:style>
  <w:style w:type="table" w:customStyle="1" w:styleId="PullOutBoxTable">
    <w:name w:val="Pull Out Box Table"/>
    <w:basedOn w:val="TableNormal"/>
    <w:uiPriority w:val="99"/>
    <w:rsid w:val="00961DBB"/>
    <w:rPr>
      <w:rFonts w:eastAsia="Times New Roman" w:cs="Arial"/>
    </w:rPr>
    <w:tblPr>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CellMar>
        <w:top w:w="28" w:type="dxa"/>
        <w:left w:w="0" w:type="dxa"/>
        <w:bottom w:w="28" w:type="dxa"/>
        <w:right w:w="0" w:type="dxa"/>
      </w:tblCellMar>
    </w:tblPr>
    <w:tcPr>
      <w:shd w:val="clear" w:color="auto" w:fill="D7DDE9"/>
    </w:tcPr>
  </w:style>
  <w:style w:type="paragraph" w:styleId="Quote">
    <w:name w:val="Quote"/>
    <w:basedOn w:val="Normal"/>
    <w:link w:val="QuoteChar"/>
    <w:uiPriority w:val="5"/>
    <w:qFormat/>
    <w:rsid w:val="00961DBB"/>
    <w:pPr>
      <w:tabs>
        <w:tab w:val="left" w:pos="1134"/>
      </w:tabs>
      <w:spacing w:before="240" w:after="240"/>
      <w:ind w:left="284"/>
    </w:pPr>
    <w:rPr>
      <w:i/>
      <w:iCs/>
    </w:rPr>
  </w:style>
  <w:style w:type="character" w:customStyle="1" w:styleId="QuoteChar">
    <w:name w:val="Quote Char"/>
    <w:link w:val="Quote"/>
    <w:uiPriority w:val="5"/>
    <w:rsid w:val="000E266E"/>
    <w:rPr>
      <w:i/>
      <w:iCs/>
    </w:rPr>
  </w:style>
  <w:style w:type="paragraph" w:customStyle="1" w:styleId="QuoteBullet">
    <w:name w:val="Quote Bullet"/>
    <w:basedOn w:val="Quote"/>
    <w:rsid w:val="00961DBB"/>
    <w:pPr>
      <w:numPr>
        <w:numId w:val="24"/>
      </w:numPr>
    </w:pPr>
  </w:style>
  <w:style w:type="paragraph" w:customStyle="1" w:styleId="QuoteBullet2">
    <w:name w:val="Quote Bullet 2"/>
    <w:basedOn w:val="Quote"/>
    <w:rsid w:val="00961DBB"/>
    <w:pPr>
      <w:numPr>
        <w:ilvl w:val="1"/>
        <w:numId w:val="24"/>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Georgia" w:hAnsi="Georgia"/>
      <w:noProof/>
      <w:color w:val="2B3B5F"/>
      <w:sz w:val="50"/>
      <w:szCs w:val="40"/>
    </w:rPr>
  </w:style>
  <w:style w:type="character" w:customStyle="1" w:styleId="SectionSubtitle">
    <w:name w:val="Section Subtitle"/>
    <w:rsid w:val="00E45766"/>
    <w:rPr>
      <w:color w:val="751D71"/>
      <w:sz w:val="40"/>
    </w:rPr>
  </w:style>
  <w:style w:type="paragraph" w:styleId="Subtitle">
    <w:name w:val="Subtitle"/>
    <w:basedOn w:val="Normal"/>
    <w:next w:val="Normal"/>
    <w:link w:val="SubtitleChar"/>
    <w:rsid w:val="00961DBB"/>
    <w:pPr>
      <w:numPr>
        <w:ilvl w:val="1"/>
      </w:numPr>
    </w:pPr>
    <w:rPr>
      <w:rFonts w:ascii="Georgia" w:eastAsia="Times New Roman" w:hAnsi="Georgia"/>
      <w:iCs/>
      <w:spacing w:val="15"/>
    </w:rPr>
  </w:style>
  <w:style w:type="character" w:customStyle="1" w:styleId="SubtitleChar">
    <w:name w:val="Subtitle Char"/>
    <w:link w:val="Subtitle"/>
    <w:rsid w:val="000E266E"/>
    <w:rPr>
      <w:rFonts w:ascii="Georgia" w:eastAsia="Times New Roman" w:hAnsi="Georgia" w:cs="Times New Roman"/>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rPr>
    <w:tblPr>
      <w:tblCellMar>
        <w:left w:w="0" w:type="dxa"/>
        <w:right w:w="0" w:type="dxa"/>
      </w:tblCellMar>
    </w:tblPr>
  </w:style>
  <w:style w:type="paragraph" w:customStyle="1" w:styleId="TableFootnotes">
    <w:name w:val="Table Footnotes"/>
    <w:basedOn w:val="Normal"/>
    <w:rsid w:val="00035ADE"/>
    <w:pPr>
      <w:keepLines/>
      <w:numPr>
        <w:numId w:val="25"/>
      </w:numPr>
      <w:spacing w:after="50"/>
    </w:pPr>
    <w:rPr>
      <w:color w:val="788184"/>
      <w:sz w:val="20"/>
    </w:rPr>
  </w:style>
  <w:style w:type="table" w:styleId="TableGrid">
    <w:name w:val="Table Grid"/>
    <w:basedOn w:val="TableNormal"/>
    <w:uiPriority w:val="59"/>
    <w:rsid w:val="00F85D29"/>
    <w:pPr>
      <w:spacing w:before="70" w:after="70" w:line="260" w:lineRule="atLeast"/>
      <w:ind w:left="113" w:right="113"/>
    </w:pPr>
    <w:rPr>
      <w:rFonts w:eastAsia="Times New Roman"/>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TableHeading">
    <w:name w:val="Table Heading"/>
    <w:basedOn w:val="Normal"/>
    <w:rsid w:val="0048342E"/>
    <w:pPr>
      <w:keepNext/>
      <w:keepLines/>
      <w:spacing w:before="70" w:after="70" w:line="260" w:lineRule="atLeast"/>
      <w:ind w:left="113" w:right="113"/>
    </w:pPr>
    <w:rPr>
      <w:b/>
      <w:color w:val="FFFFFF"/>
      <w:sz w:val="20"/>
    </w:rPr>
  </w:style>
  <w:style w:type="paragraph" w:customStyle="1" w:styleId="TableHeadingCentred">
    <w:name w:val="Table Heading Centred"/>
    <w:basedOn w:val="TableHeading"/>
    <w:rsid w:val="00956D5A"/>
    <w:pPr>
      <w:jc w:val="center"/>
    </w:pPr>
    <w:rPr>
      <w:color w:val="auto"/>
    </w:rPr>
  </w:style>
  <w:style w:type="paragraph" w:customStyle="1" w:styleId="TableHeadingRight">
    <w:name w:val="Table Heading Right"/>
    <w:basedOn w:val="TableHeading"/>
    <w:rsid w:val="00956D5A"/>
    <w:pPr>
      <w:jc w:val="right"/>
    </w:pPr>
  </w:style>
  <w:style w:type="paragraph" w:customStyle="1" w:styleId="Source">
    <w:name w:val="Source"/>
    <w:basedOn w:val="Normal"/>
    <w:next w:val="BodyText17ptAbove"/>
    <w:rsid w:val="00035ADE"/>
    <w:pPr>
      <w:spacing w:before="180" w:after="114"/>
      <w:contextualSpacing/>
    </w:pPr>
    <w:rPr>
      <w:color w:val="788184"/>
      <w:sz w:val="20"/>
      <w:szCs w:val="14"/>
    </w:rPr>
  </w:style>
  <w:style w:type="paragraph" w:customStyle="1" w:styleId="TableText">
    <w:name w:val="Table Text"/>
    <w:basedOn w:val="Normal"/>
    <w:rsid w:val="0048342E"/>
    <w:pPr>
      <w:spacing w:before="70" w:after="70" w:line="260" w:lineRule="atLeast"/>
      <w:ind w:left="113" w:right="113"/>
    </w:pPr>
    <w:rPr>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28"/>
      </w:numPr>
    </w:pPr>
  </w:style>
  <w:style w:type="paragraph" w:customStyle="1" w:styleId="TableTextBullet2">
    <w:name w:val="Table Text Bullet 2"/>
    <w:basedOn w:val="TableTextBullet"/>
    <w:rsid w:val="00961DBB"/>
    <w:pPr>
      <w:numPr>
        <w:ilvl w:val="1"/>
      </w:numPr>
    </w:pPr>
    <w:rPr>
      <w:bCs/>
    </w:rPr>
  </w:style>
  <w:style w:type="paragraph" w:customStyle="1" w:styleId="TableTextBullet3">
    <w:name w:val="Table Text Bullet 3"/>
    <w:basedOn w:val="TableTextBullet2"/>
    <w:rsid w:val="00961DBB"/>
    <w:pPr>
      <w:numPr>
        <w:ilvl w:val="2"/>
      </w:numPr>
    </w:pPr>
    <w:rPr>
      <w:bCs w:val="0"/>
    </w:rPr>
  </w:style>
  <w:style w:type="paragraph" w:customStyle="1" w:styleId="TableTextNumber">
    <w:name w:val="Table Text Number"/>
    <w:basedOn w:val="TableText"/>
    <w:rsid w:val="00961DBB"/>
    <w:pPr>
      <w:numPr>
        <w:numId w:val="31"/>
      </w:numPr>
    </w:pPr>
  </w:style>
  <w:style w:type="paragraph" w:customStyle="1" w:styleId="TableTextNumber2">
    <w:name w:val="Table Text Number 2"/>
    <w:basedOn w:val="TableTextNumber"/>
    <w:rsid w:val="00961DBB"/>
    <w:pPr>
      <w:numPr>
        <w:ilvl w:val="1"/>
      </w:numPr>
      <w:tabs>
        <w:tab w:val="clear" w:pos="709"/>
        <w:tab w:val="num" w:pos="680"/>
      </w:tabs>
      <w:ind w:left="680"/>
    </w:pPr>
  </w:style>
  <w:style w:type="paragraph" w:customStyle="1" w:styleId="TableTextNumber3">
    <w:name w:val="Table Text Number 3"/>
    <w:basedOn w:val="TableTextNumber2"/>
    <w:rsid w:val="00961DBB"/>
    <w:pPr>
      <w:numPr>
        <w:ilvl w:val="2"/>
      </w:numPr>
    </w:pPr>
  </w:style>
  <w:style w:type="paragraph" w:customStyle="1" w:styleId="TableTextRight">
    <w:name w:val="Table Text Right"/>
    <w:basedOn w:val="TableTex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Georgia" w:eastAsia="Times New Roman" w:hAnsi="Georgia"/>
      <w:color w:val="2B3B5F"/>
      <w:spacing w:val="-2"/>
      <w:sz w:val="50"/>
      <w:szCs w:val="50"/>
    </w:rPr>
  </w:style>
  <w:style w:type="character" w:customStyle="1" w:styleId="TitleChar">
    <w:name w:val="Title Char"/>
    <w:link w:val="Title"/>
    <w:rsid w:val="000E266E"/>
    <w:rPr>
      <w:rFonts w:ascii="Georgia" w:eastAsia="Times New Roman" w:hAnsi="Georgia" w:cs="Times New Roman"/>
      <w:color w:val="2B3B5F"/>
      <w:spacing w:val="-2"/>
      <w:sz w:val="50"/>
      <w:szCs w:val="50"/>
    </w:rPr>
  </w:style>
  <w:style w:type="paragraph" w:customStyle="1" w:styleId="Title2">
    <w:name w:val="Title 2"/>
    <w:basedOn w:val="Normal"/>
    <w:link w:val="Title2Char"/>
    <w:rsid w:val="00C8728F"/>
    <w:pPr>
      <w:spacing w:after="250"/>
      <w:ind w:left="397"/>
      <w:jc w:val="right"/>
    </w:pPr>
    <w:rPr>
      <w:rFonts w:ascii="Georgia" w:hAnsi="Georgia"/>
      <w:color w:val="FFFFFF"/>
      <w:spacing w:val="-2"/>
      <w:sz w:val="32"/>
    </w:rPr>
  </w:style>
  <w:style w:type="character" w:customStyle="1" w:styleId="Title2Char">
    <w:name w:val="Title 2 Char"/>
    <w:link w:val="Title2"/>
    <w:rsid w:val="000E266E"/>
    <w:rPr>
      <w:rFonts w:ascii="Georgia" w:hAnsi="Georgia"/>
      <w:color w:val="FFFFFF"/>
      <w:spacing w:val="-2"/>
      <w:sz w:val="32"/>
    </w:rPr>
  </w:style>
  <w:style w:type="paragraph" w:customStyle="1" w:styleId="Title3">
    <w:name w:val="Title 3"/>
    <w:basedOn w:val="Title2"/>
    <w:rsid w:val="00195228"/>
    <w:pPr>
      <w:framePr w:wrap="auto" w:vAnchor="page" w:hAnchor="margin" w:y="5779"/>
    </w:pPr>
    <w:rPr>
      <w:rFonts w:asciiTheme="majorHAnsi" w:eastAsia="Times New Roman" w:hAnsiTheme="majorHAnsi" w:cs="Arial"/>
      <w:i/>
      <w:spacing w:val="8"/>
      <w:lang w:eastAsia="en-AU"/>
    </w:rPr>
  </w:style>
  <w:style w:type="paragraph" w:styleId="TOC1">
    <w:name w:val="toc 1"/>
    <w:basedOn w:val="Normal"/>
    <w:next w:val="Normal"/>
    <w:rsid w:val="001B2C65"/>
    <w:pPr>
      <w:tabs>
        <w:tab w:val="right" w:leader="underscore" w:pos="8164"/>
      </w:tabs>
      <w:spacing w:after="227"/>
      <w:ind w:right="851"/>
    </w:pPr>
    <w:rPr>
      <w:b/>
      <w:noProof/>
      <w:color w:val="2B3B5F"/>
    </w:rPr>
  </w:style>
  <w:style w:type="paragraph" w:styleId="TOC2">
    <w:name w:val="toc 2"/>
    <w:basedOn w:val="Normal"/>
    <w:next w:val="Normal"/>
    <w:rsid w:val="001B2C65"/>
    <w:pPr>
      <w:tabs>
        <w:tab w:val="right" w:leader="underscore" w:pos="8164"/>
      </w:tabs>
      <w:spacing w:after="227"/>
      <w:ind w:left="454" w:right="851"/>
    </w:pPr>
    <w:rPr>
      <w:noProof/>
      <w:szCs w:val="28"/>
    </w:rPr>
  </w:style>
  <w:style w:type="paragraph" w:styleId="TOC3">
    <w:name w:val="toc 3"/>
    <w:basedOn w:val="Normal"/>
    <w:next w:val="Normal"/>
    <w:rsid w:val="001B2C65"/>
    <w:pPr>
      <w:tabs>
        <w:tab w:val="right" w:leader="underscore" w:pos="8164"/>
      </w:tabs>
      <w:spacing w:after="227"/>
      <w:ind w:left="907" w:right="851"/>
    </w:pPr>
    <w:rPr>
      <w:rFonts w:eastAsia="Times New Roman"/>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Georgia" w:hAnsi="Georgia"/>
      <w:color w:val="2B3B5F"/>
      <w:sz w:val="40"/>
      <w:szCs w:val="40"/>
    </w:rPr>
  </w:style>
  <w:style w:type="paragraph" w:customStyle="1" w:styleId="TOFHeading">
    <w:name w:val="TOF Heading"/>
    <w:basedOn w:val="Normal"/>
    <w:rsid w:val="00961DBB"/>
    <w:pPr>
      <w:keepNext/>
      <w:tabs>
        <w:tab w:val="left" w:pos="2268"/>
      </w:tabs>
      <w:spacing w:before="300" w:after="120"/>
    </w:pPr>
    <w:rPr>
      <w:color w:val="2B3B5F"/>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link w:val="xDisclaimerHeading"/>
    <w:rsid w:val="000E266E"/>
    <w:rPr>
      <w:b/>
    </w:rPr>
  </w:style>
  <w:style w:type="paragraph" w:customStyle="1" w:styleId="xDisclaimerText">
    <w:name w:val="xDisclaimer Text"/>
    <w:basedOn w:val="Normal"/>
    <w:rsid w:val="00961DBB"/>
    <w:pPr>
      <w:spacing w:after="57" w:line="302" w:lineRule="atLeast"/>
    </w:p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link w:val="xDisclaimerHeadingwithxDisclaimerText"/>
    <w:rsid w:val="000E266E"/>
    <w:rPr>
      <w:b/>
    </w:rPr>
  </w:style>
  <w:style w:type="character" w:styleId="Hyperlink">
    <w:name w:val="Hyperlink"/>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Georgia" w:hAnsi="Georgia"/>
      <w:color w:val="FFFFFF"/>
      <w:spacing w:val="-6"/>
      <w:sz w:val="40"/>
      <w:szCs w:val="36"/>
    </w:rPr>
  </w:style>
  <w:style w:type="paragraph" w:customStyle="1" w:styleId="Heading1NoNumbering">
    <w:name w:val="Heading 1 No Numbering"/>
    <w:basedOn w:val="Heading1"/>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Letterfooter">
    <w:name w:val="Letter footer"/>
    <w:basedOn w:val="Footer"/>
    <w:rsid w:val="009A02EF"/>
    <w:pPr>
      <w:tabs>
        <w:tab w:val="center" w:pos="4513"/>
        <w:tab w:val="right" w:pos="9026"/>
      </w:tabs>
      <w:ind w:right="-618" w:hanging="709"/>
    </w:pPr>
    <w:rPr>
      <w:rFonts w:cs="Arial"/>
      <w:b/>
      <w:szCs w:val="17"/>
    </w:rPr>
  </w:style>
  <w:style w:type="paragraph" w:customStyle="1" w:styleId="PBOheader">
    <w:name w:val="PBO header"/>
    <w:basedOn w:val="Header"/>
    <w:rsid w:val="009A02EF"/>
    <w:pPr>
      <w:spacing w:before="480"/>
      <w:ind w:left="6521"/>
    </w:pPr>
    <w:rPr>
      <w:rFonts w:cs="Arial"/>
      <w:b w:val="0"/>
      <w:szCs w:val="18"/>
    </w:rPr>
  </w:style>
  <w:style w:type="paragraph" w:customStyle="1" w:styleId="Default">
    <w:name w:val="Default"/>
    <w:rsid w:val="00B1601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2C373-C41A-4BF8-8202-6BCC0FA1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Media release: PBO establishes panel of expert advisors</vt:lpstr>
    </vt:vector>
  </TitlesOfParts>
  <Company>Parliament of Australia</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PBO establishes panel of expert advisors</dc:title>
  <dc:creator>Parliamentary Budget Office</dc:creator>
  <cp:lastModifiedBy>Pratley, Lauren (PBO)</cp:lastModifiedBy>
  <cp:revision>21</cp:revision>
  <cp:lastPrinted>2017-12-20T05:45:00Z</cp:lastPrinted>
  <dcterms:created xsi:type="dcterms:W3CDTF">2017-12-18T04:03:00Z</dcterms:created>
  <dcterms:modified xsi:type="dcterms:W3CDTF">2017-12-21T01:26:00Z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H</vt:lpwstr>
  </property>
  <property fmtid="{D5CDD505-2E9C-101B-9397-08002B2CF9AE}" pid="4" name="xTOCH3">
    <vt:lpwstr>H</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Appendix</vt:lpwstr>
  </property>
  <property fmtid="{D5CDD505-2E9C-101B-9397-08002B2CF9AE}" pid="12" name="_MarkAsFinal">
    <vt:bool>true</vt:bool>
  </property>
</Properties>
</file>