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3E" w:rsidRDefault="00684AA1" w:rsidP="00A54CF2">
      <w:pPr>
        <w:jc w:val="center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>Open Government Reform</w:t>
      </w:r>
    </w:p>
    <w:p w:rsidR="00A54CF2" w:rsidRPr="00A54CF2" w:rsidRDefault="00A54CF2" w:rsidP="00A54CF2">
      <w:pPr>
        <w:jc w:val="center"/>
        <w:rPr>
          <w:rFonts w:asciiTheme="majorHAnsi" w:hAnsiTheme="majorHAnsi"/>
          <w:sz w:val="40"/>
          <w:szCs w:val="40"/>
        </w:rPr>
      </w:pPr>
    </w:p>
    <w:p w:rsidR="0080343E" w:rsidRPr="00C97909" w:rsidRDefault="0080343E" w:rsidP="0080343E">
      <w:pPr>
        <w:rPr>
          <w:rFonts w:asciiTheme="majorHAnsi" w:hAnsiTheme="majorHAnsi"/>
          <w:b/>
          <w:bCs/>
          <w:sz w:val="32"/>
          <w:szCs w:val="32"/>
        </w:rPr>
      </w:pPr>
      <w:r w:rsidRPr="00C97909">
        <w:rPr>
          <w:rFonts w:asciiTheme="majorHAnsi" w:hAnsiTheme="majorHAnsi"/>
          <w:b/>
          <w:bCs/>
          <w:sz w:val="32"/>
          <w:szCs w:val="32"/>
        </w:rPr>
        <w:t>The Open Government Reform Package</w:t>
      </w:r>
    </w:p>
    <w:p w:rsidR="00A54CF2" w:rsidRPr="00A54CF2" w:rsidRDefault="00A54CF2" w:rsidP="0080343E">
      <w:pPr>
        <w:rPr>
          <w:rFonts w:asciiTheme="majorHAnsi" w:hAnsiTheme="majorHAnsi"/>
          <w:szCs w:val="26"/>
        </w:rPr>
      </w:pPr>
    </w:p>
    <w:p w:rsidR="001A4A9B" w:rsidRPr="00C97909" w:rsidRDefault="00A54CF2" w:rsidP="00C97909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C97909">
        <w:rPr>
          <w:rFonts w:asciiTheme="majorHAnsi" w:hAnsiTheme="majorHAnsi"/>
          <w:sz w:val="28"/>
          <w:szCs w:val="28"/>
        </w:rPr>
        <w:t>Legislative reforms</w:t>
      </w:r>
    </w:p>
    <w:p w:rsidR="0080343E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i/>
          <w:iCs/>
          <w:szCs w:val="26"/>
        </w:rPr>
        <w:t>FOI (Removal of Conclusive Certificates) Act 2009; FOI Amendment (Reform) Act 2010; Australian Information Commissioner Act 2010</w:t>
      </w:r>
      <w:r w:rsidRPr="00A54CF2">
        <w:rPr>
          <w:rFonts w:asciiTheme="majorHAnsi" w:hAnsiTheme="majorHAnsi"/>
          <w:szCs w:val="26"/>
        </w:rPr>
        <w:t xml:space="preserve"> </w:t>
      </w:r>
    </w:p>
    <w:p w:rsidR="00C97909" w:rsidRPr="00A54CF2" w:rsidRDefault="00C97909" w:rsidP="00C97909">
      <w:pPr>
        <w:ind w:left="720"/>
        <w:rPr>
          <w:rFonts w:asciiTheme="majorHAnsi" w:hAnsiTheme="majorHAnsi"/>
          <w:szCs w:val="26"/>
        </w:rPr>
      </w:pPr>
    </w:p>
    <w:p w:rsidR="001A4A9B" w:rsidRPr="00C97909" w:rsidRDefault="00A54CF2" w:rsidP="00C97909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C97909">
        <w:rPr>
          <w:rFonts w:asciiTheme="majorHAnsi" w:hAnsiTheme="majorHAnsi"/>
          <w:sz w:val="28"/>
          <w:szCs w:val="28"/>
        </w:rPr>
        <w:t>Policy reforms</w:t>
      </w:r>
    </w:p>
    <w:p w:rsidR="0080343E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>Gov 2.0 taskforce reforms;</w:t>
      </w:r>
      <w:r w:rsidRPr="00A54CF2">
        <w:rPr>
          <w:rFonts w:asciiTheme="majorHAnsi" w:hAnsiTheme="majorHAnsi"/>
          <w:i/>
          <w:iCs/>
          <w:szCs w:val="26"/>
        </w:rPr>
        <w:t xml:space="preserve"> Blueprint for Reform of Australian Government Administration; </w:t>
      </w:r>
      <w:r w:rsidRPr="00A54CF2">
        <w:rPr>
          <w:rFonts w:asciiTheme="majorHAnsi" w:hAnsiTheme="majorHAnsi"/>
          <w:szCs w:val="26"/>
        </w:rPr>
        <w:t>Declaration of Open Government</w:t>
      </w:r>
    </w:p>
    <w:p w:rsidR="00C97909" w:rsidRPr="00A54CF2" w:rsidRDefault="00C97909" w:rsidP="00C97909">
      <w:pPr>
        <w:ind w:left="720"/>
        <w:rPr>
          <w:rFonts w:asciiTheme="majorHAnsi" w:hAnsiTheme="majorHAnsi"/>
          <w:szCs w:val="26"/>
        </w:rPr>
      </w:pPr>
    </w:p>
    <w:p w:rsidR="00C97909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>Themes: pro-disclosure culture through web publication of public sector information (PSI); citizens engaged online; re-use of PSI permitted by open licensing</w:t>
      </w:r>
    </w:p>
    <w:p w:rsidR="0080343E" w:rsidRPr="00A54CF2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i/>
          <w:iCs/>
          <w:szCs w:val="26"/>
        </w:rPr>
        <w:tab/>
      </w:r>
      <w:r w:rsidRPr="00A54CF2">
        <w:rPr>
          <w:rFonts w:asciiTheme="majorHAnsi" w:hAnsiTheme="majorHAnsi"/>
          <w:szCs w:val="26"/>
        </w:rPr>
        <w:t xml:space="preserve"> </w:t>
      </w:r>
    </w:p>
    <w:p w:rsidR="0080343E" w:rsidRPr="00911ABC" w:rsidRDefault="0080343E" w:rsidP="0080343E">
      <w:pPr>
        <w:rPr>
          <w:rFonts w:asciiTheme="majorHAnsi" w:hAnsiTheme="majorHAnsi"/>
          <w:b/>
          <w:bCs/>
          <w:sz w:val="32"/>
          <w:szCs w:val="32"/>
        </w:rPr>
      </w:pPr>
      <w:r w:rsidRPr="00911ABC">
        <w:rPr>
          <w:rFonts w:asciiTheme="majorHAnsi" w:hAnsiTheme="majorHAnsi"/>
          <w:b/>
          <w:bCs/>
          <w:sz w:val="32"/>
          <w:szCs w:val="32"/>
        </w:rPr>
        <w:t xml:space="preserve">Key FOI changes </w:t>
      </w:r>
    </w:p>
    <w:p w:rsidR="00C97909" w:rsidRPr="00C97909" w:rsidRDefault="00C97909" w:rsidP="0080343E">
      <w:pPr>
        <w:rPr>
          <w:rFonts w:asciiTheme="majorHAnsi" w:hAnsiTheme="majorHAnsi"/>
          <w:sz w:val="28"/>
          <w:szCs w:val="28"/>
        </w:rPr>
      </w:pPr>
    </w:p>
    <w:p w:rsidR="001A4A9B" w:rsidRPr="00C97909" w:rsidRDefault="00A54CF2" w:rsidP="00C97909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 w:rsidRPr="00C97909">
        <w:rPr>
          <w:rFonts w:asciiTheme="majorHAnsi" w:hAnsiTheme="majorHAnsi"/>
          <w:sz w:val="28"/>
          <w:szCs w:val="28"/>
        </w:rPr>
        <w:t xml:space="preserve">FOI, privacy and information management policy integrated in </w:t>
      </w:r>
      <w:r w:rsidR="00A1184F">
        <w:rPr>
          <w:rFonts w:asciiTheme="majorHAnsi" w:hAnsiTheme="majorHAnsi"/>
          <w:sz w:val="28"/>
          <w:szCs w:val="28"/>
        </w:rPr>
        <w:t xml:space="preserve">a </w:t>
      </w:r>
      <w:r w:rsidRPr="00C97909">
        <w:rPr>
          <w:rFonts w:asciiTheme="majorHAnsi" w:hAnsiTheme="majorHAnsi"/>
          <w:sz w:val="28"/>
          <w:szCs w:val="28"/>
        </w:rPr>
        <w:t>singl</w:t>
      </w:r>
      <w:r w:rsidR="00C97909" w:rsidRPr="00C97909">
        <w:rPr>
          <w:rFonts w:asciiTheme="majorHAnsi" w:hAnsiTheme="majorHAnsi"/>
          <w:sz w:val="28"/>
          <w:szCs w:val="28"/>
        </w:rPr>
        <w:t>e scheme and a new office (OAIC)</w:t>
      </w:r>
    </w:p>
    <w:p w:rsidR="00C97909" w:rsidRPr="00C97909" w:rsidRDefault="00C97909" w:rsidP="00C97909">
      <w:pPr>
        <w:pStyle w:val="ListParagraph"/>
        <w:rPr>
          <w:rFonts w:asciiTheme="majorHAnsi" w:hAnsiTheme="majorHAnsi"/>
          <w:szCs w:val="26"/>
        </w:rPr>
      </w:pPr>
    </w:p>
    <w:p w:rsidR="001A4A9B" w:rsidRPr="00C97909" w:rsidRDefault="00820480" w:rsidP="00C97909">
      <w:pPr>
        <w:pStyle w:val="ListParagraph"/>
        <w:numPr>
          <w:ilvl w:val="0"/>
          <w:numId w:val="14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OAIC given </w:t>
      </w:r>
      <w:r w:rsidR="00A54CF2" w:rsidRPr="00C97909">
        <w:rPr>
          <w:rFonts w:asciiTheme="majorHAnsi" w:hAnsiTheme="majorHAnsi"/>
          <w:sz w:val="28"/>
          <w:szCs w:val="28"/>
        </w:rPr>
        <w:t>comprehensive functions and powers</w:t>
      </w:r>
    </w:p>
    <w:p w:rsidR="0080343E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>complaint investigation; merit rev</w:t>
      </w:r>
      <w:r w:rsidR="00C97909">
        <w:rPr>
          <w:rFonts w:asciiTheme="majorHAnsi" w:hAnsiTheme="majorHAnsi"/>
          <w:szCs w:val="26"/>
        </w:rPr>
        <w:t xml:space="preserve">iew; promoting open government; </w:t>
      </w:r>
      <w:r w:rsidRPr="00A54CF2">
        <w:rPr>
          <w:rFonts w:asciiTheme="majorHAnsi" w:hAnsiTheme="majorHAnsi"/>
          <w:szCs w:val="26"/>
        </w:rPr>
        <w:t>publishing guidelines; training and advice; monitoring agency administration; advising government</w:t>
      </w:r>
    </w:p>
    <w:p w:rsidR="00C97909" w:rsidRPr="00A54CF2" w:rsidRDefault="00C97909" w:rsidP="00C97909">
      <w:pPr>
        <w:ind w:left="720"/>
        <w:rPr>
          <w:rFonts w:asciiTheme="majorHAnsi" w:hAnsiTheme="majorHAnsi"/>
          <w:szCs w:val="26"/>
        </w:rPr>
      </w:pPr>
    </w:p>
    <w:p w:rsidR="001A4A9B" w:rsidRPr="00C97909" w:rsidRDefault="00A54CF2" w:rsidP="00C97909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C97909">
        <w:rPr>
          <w:rFonts w:asciiTheme="majorHAnsi" w:hAnsiTheme="majorHAnsi"/>
          <w:sz w:val="28"/>
          <w:szCs w:val="28"/>
        </w:rPr>
        <w:t>FOI application process improved</w:t>
      </w:r>
    </w:p>
    <w:p w:rsidR="0080343E" w:rsidRDefault="0080343E" w:rsidP="00C97909">
      <w:pPr>
        <w:ind w:left="720"/>
        <w:rPr>
          <w:rFonts w:asciiTheme="majorHAnsi" w:hAnsiTheme="majorHAnsi"/>
          <w:szCs w:val="26"/>
        </w:rPr>
      </w:pPr>
      <w:proofErr w:type="gramStart"/>
      <w:r w:rsidRPr="00A54CF2">
        <w:rPr>
          <w:rFonts w:asciiTheme="majorHAnsi" w:hAnsiTheme="majorHAnsi"/>
          <w:szCs w:val="26"/>
        </w:rPr>
        <w:t>email</w:t>
      </w:r>
      <w:proofErr w:type="gramEnd"/>
      <w:r w:rsidRPr="00A54CF2">
        <w:rPr>
          <w:rFonts w:asciiTheme="majorHAnsi" w:hAnsiTheme="majorHAnsi"/>
          <w:szCs w:val="26"/>
        </w:rPr>
        <w:t xml:space="preserve"> applications; no application fee and reduced charges; </w:t>
      </w:r>
      <w:r w:rsidR="00911ABC">
        <w:rPr>
          <w:rFonts w:asciiTheme="majorHAnsi" w:hAnsiTheme="majorHAnsi"/>
          <w:szCs w:val="26"/>
        </w:rPr>
        <w:t xml:space="preserve">agencies encouraged to seek </w:t>
      </w:r>
      <w:r w:rsidRPr="00A54CF2">
        <w:rPr>
          <w:rFonts w:asciiTheme="majorHAnsi" w:hAnsiTheme="majorHAnsi"/>
          <w:szCs w:val="26"/>
        </w:rPr>
        <w:t>OAIC app</w:t>
      </w:r>
      <w:r w:rsidR="00911ABC">
        <w:rPr>
          <w:rFonts w:asciiTheme="majorHAnsi" w:hAnsiTheme="majorHAnsi"/>
          <w:szCs w:val="26"/>
        </w:rPr>
        <w:t xml:space="preserve">roval </w:t>
      </w:r>
      <w:r w:rsidRPr="00A54CF2">
        <w:rPr>
          <w:rFonts w:asciiTheme="majorHAnsi" w:hAnsiTheme="majorHAnsi"/>
          <w:szCs w:val="26"/>
        </w:rPr>
        <w:t xml:space="preserve">to extend 30 day processing period; </w:t>
      </w:r>
      <w:r w:rsidR="00911ABC">
        <w:rPr>
          <w:rFonts w:asciiTheme="majorHAnsi" w:hAnsiTheme="majorHAnsi"/>
          <w:szCs w:val="26"/>
        </w:rPr>
        <w:t xml:space="preserve">OAIC </w:t>
      </w:r>
      <w:r w:rsidRPr="00A54CF2">
        <w:rPr>
          <w:rFonts w:asciiTheme="majorHAnsi" w:hAnsiTheme="majorHAnsi"/>
          <w:szCs w:val="26"/>
        </w:rPr>
        <w:t xml:space="preserve">vexatious application declaration power; internal review optional </w:t>
      </w:r>
    </w:p>
    <w:p w:rsidR="00C97909" w:rsidRPr="00A54CF2" w:rsidRDefault="00C97909" w:rsidP="0080343E">
      <w:pPr>
        <w:rPr>
          <w:rFonts w:asciiTheme="majorHAnsi" w:hAnsiTheme="majorHAnsi"/>
          <w:szCs w:val="26"/>
        </w:rPr>
      </w:pPr>
    </w:p>
    <w:p w:rsidR="001A4A9B" w:rsidRPr="00C97909" w:rsidRDefault="00A54CF2" w:rsidP="00C97909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C97909">
        <w:rPr>
          <w:rFonts w:asciiTheme="majorHAnsi" w:hAnsiTheme="majorHAnsi"/>
          <w:sz w:val="28"/>
          <w:szCs w:val="28"/>
        </w:rPr>
        <w:t>FOI exemptions re-defined and narrowed</w:t>
      </w:r>
    </w:p>
    <w:p w:rsidR="0080343E" w:rsidRPr="00A54CF2" w:rsidRDefault="0080343E" w:rsidP="0080343E">
      <w:pPr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ab/>
        <w:t>Cabinet exemption narrowed – ‘dominant purpose of submission’ test</w:t>
      </w:r>
    </w:p>
    <w:p w:rsidR="0080343E" w:rsidRPr="00A54CF2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>Some exemptions recast as ‘conditional exemptions’, subject to overriding public interest test</w:t>
      </w:r>
    </w:p>
    <w:p w:rsidR="0080343E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>Acts specifies factors favouring access and irrelevant factors that cannot be considered</w:t>
      </w:r>
    </w:p>
    <w:p w:rsidR="00C97909" w:rsidRDefault="00C97909" w:rsidP="0080343E">
      <w:pPr>
        <w:rPr>
          <w:rFonts w:asciiTheme="majorHAnsi" w:hAnsiTheme="majorHAnsi"/>
          <w:szCs w:val="26"/>
        </w:rPr>
      </w:pPr>
    </w:p>
    <w:p w:rsidR="00C97909" w:rsidRDefault="00C97909" w:rsidP="00C97909">
      <w:pPr>
        <w:rPr>
          <w:rFonts w:asciiTheme="majorHAnsi" w:hAnsiTheme="majorHAnsi"/>
          <w:szCs w:val="26"/>
        </w:rPr>
      </w:pPr>
    </w:p>
    <w:p w:rsidR="0080343E" w:rsidRDefault="0080343E" w:rsidP="00C97909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C97909">
        <w:rPr>
          <w:rFonts w:asciiTheme="majorHAnsi" w:hAnsiTheme="majorHAnsi"/>
          <w:b/>
          <w:bCs/>
          <w:sz w:val="32"/>
          <w:szCs w:val="32"/>
        </w:rPr>
        <w:lastRenderedPageBreak/>
        <w:t>Open Government Reform</w:t>
      </w:r>
    </w:p>
    <w:p w:rsidR="00C97909" w:rsidRPr="00C97909" w:rsidRDefault="00C97909" w:rsidP="00C97909">
      <w:pPr>
        <w:jc w:val="center"/>
        <w:rPr>
          <w:rFonts w:asciiTheme="majorHAnsi" w:hAnsiTheme="majorHAnsi"/>
          <w:sz w:val="32"/>
          <w:szCs w:val="32"/>
        </w:rPr>
      </w:pPr>
    </w:p>
    <w:p w:rsidR="001A4A9B" w:rsidRDefault="00A54CF2" w:rsidP="00C97909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C97909">
        <w:rPr>
          <w:rFonts w:asciiTheme="majorHAnsi" w:hAnsiTheme="majorHAnsi"/>
          <w:sz w:val="28"/>
          <w:szCs w:val="28"/>
        </w:rPr>
        <w:t>FOI Act ex</w:t>
      </w:r>
      <w:r w:rsidR="00A1184F">
        <w:rPr>
          <w:rFonts w:asciiTheme="majorHAnsi" w:hAnsiTheme="majorHAnsi"/>
          <w:sz w:val="28"/>
          <w:szCs w:val="28"/>
        </w:rPr>
        <w:t xml:space="preserve">tended from 1 Nov to </w:t>
      </w:r>
      <w:r w:rsidRPr="00C97909">
        <w:rPr>
          <w:rFonts w:asciiTheme="majorHAnsi" w:hAnsiTheme="majorHAnsi"/>
          <w:sz w:val="28"/>
          <w:szCs w:val="28"/>
        </w:rPr>
        <w:t>contracted service providers</w:t>
      </w:r>
      <w:r w:rsidR="00911ABC">
        <w:rPr>
          <w:rFonts w:asciiTheme="majorHAnsi" w:hAnsiTheme="majorHAnsi"/>
          <w:sz w:val="28"/>
          <w:szCs w:val="28"/>
        </w:rPr>
        <w:t xml:space="preserve">, </w:t>
      </w:r>
      <w:r w:rsidR="00A1184F">
        <w:rPr>
          <w:rFonts w:asciiTheme="majorHAnsi" w:hAnsiTheme="majorHAnsi"/>
          <w:sz w:val="28"/>
          <w:szCs w:val="28"/>
        </w:rPr>
        <w:t xml:space="preserve">as to records of </w:t>
      </w:r>
      <w:bookmarkStart w:id="0" w:name="_GoBack"/>
      <w:bookmarkEnd w:id="0"/>
      <w:r w:rsidR="00911ABC">
        <w:rPr>
          <w:rFonts w:asciiTheme="majorHAnsi" w:hAnsiTheme="majorHAnsi"/>
          <w:sz w:val="28"/>
          <w:szCs w:val="28"/>
        </w:rPr>
        <w:t>services provided to the public</w:t>
      </w:r>
    </w:p>
    <w:p w:rsidR="00C97909" w:rsidRPr="00C97909" w:rsidRDefault="00C97909" w:rsidP="00C97909">
      <w:pPr>
        <w:pStyle w:val="ListParagraph"/>
        <w:rPr>
          <w:rFonts w:asciiTheme="majorHAnsi" w:hAnsiTheme="majorHAnsi"/>
          <w:sz w:val="28"/>
          <w:szCs w:val="28"/>
        </w:rPr>
      </w:pPr>
    </w:p>
    <w:p w:rsidR="001A4A9B" w:rsidRDefault="00A54CF2" w:rsidP="00C97909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C97909">
        <w:rPr>
          <w:rFonts w:asciiTheme="majorHAnsi" w:hAnsiTheme="majorHAnsi"/>
          <w:sz w:val="28"/>
          <w:szCs w:val="28"/>
        </w:rPr>
        <w:t>Archival open access period reduced from 30 to 20 years by 2020</w:t>
      </w:r>
    </w:p>
    <w:p w:rsidR="00C97909" w:rsidRPr="00C97909" w:rsidRDefault="00C97909" w:rsidP="00C97909">
      <w:pPr>
        <w:rPr>
          <w:rFonts w:asciiTheme="majorHAnsi" w:hAnsiTheme="majorHAnsi"/>
          <w:sz w:val="28"/>
          <w:szCs w:val="28"/>
        </w:rPr>
      </w:pPr>
    </w:p>
    <w:p w:rsidR="001A4A9B" w:rsidRPr="00C97909" w:rsidRDefault="00A54CF2" w:rsidP="00C97909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C97909">
        <w:rPr>
          <w:rFonts w:asciiTheme="majorHAnsi" w:hAnsiTheme="majorHAnsi"/>
          <w:sz w:val="28"/>
          <w:szCs w:val="28"/>
        </w:rPr>
        <w:t>New FOI objects clause</w:t>
      </w:r>
    </w:p>
    <w:p w:rsidR="0080343E" w:rsidRPr="00A54CF2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>‘</w:t>
      </w:r>
      <w:r w:rsidR="00C97909" w:rsidRPr="00A54CF2">
        <w:rPr>
          <w:rFonts w:asciiTheme="majorHAnsi" w:hAnsiTheme="majorHAnsi"/>
          <w:i/>
          <w:iCs/>
          <w:szCs w:val="26"/>
        </w:rPr>
        <w:t>Information</w:t>
      </w:r>
      <w:r w:rsidRPr="00A54CF2">
        <w:rPr>
          <w:rFonts w:asciiTheme="majorHAnsi" w:hAnsiTheme="majorHAnsi"/>
          <w:i/>
          <w:iCs/>
          <w:szCs w:val="26"/>
        </w:rPr>
        <w:t xml:space="preserve"> held by Government is to be managed for public purposes, and is a national resource’</w:t>
      </w:r>
    </w:p>
    <w:p w:rsidR="0080343E" w:rsidRPr="00A54CF2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>‘</w:t>
      </w:r>
      <w:r w:rsidR="00710F11">
        <w:rPr>
          <w:rFonts w:asciiTheme="majorHAnsi" w:hAnsiTheme="majorHAnsi"/>
          <w:i/>
          <w:iCs/>
          <w:szCs w:val="26"/>
        </w:rPr>
        <w:t>Increase</w:t>
      </w:r>
      <w:r w:rsidRPr="00A54CF2">
        <w:rPr>
          <w:rFonts w:asciiTheme="majorHAnsi" w:hAnsiTheme="majorHAnsi"/>
          <w:i/>
          <w:iCs/>
          <w:szCs w:val="26"/>
        </w:rPr>
        <w:t xml:space="preserve"> public participation in Government processes, with a view to promoting better informed decision making</w:t>
      </w:r>
    </w:p>
    <w:p w:rsidR="0080343E" w:rsidRDefault="0080343E" w:rsidP="00C97909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i/>
          <w:iCs/>
          <w:szCs w:val="26"/>
        </w:rPr>
        <w:t>‘</w:t>
      </w:r>
      <w:r w:rsidR="00C97909" w:rsidRPr="00A54CF2">
        <w:rPr>
          <w:rFonts w:asciiTheme="majorHAnsi" w:hAnsiTheme="majorHAnsi"/>
          <w:i/>
          <w:iCs/>
          <w:szCs w:val="26"/>
        </w:rPr>
        <w:t>Increase</w:t>
      </w:r>
      <w:r w:rsidRPr="00A54CF2">
        <w:rPr>
          <w:rFonts w:asciiTheme="majorHAnsi" w:hAnsiTheme="majorHAnsi"/>
          <w:i/>
          <w:iCs/>
          <w:szCs w:val="26"/>
        </w:rPr>
        <w:t xml:space="preserve"> scrutiny, discussion, comment and review of the Government’s activities</w:t>
      </w:r>
      <w:r w:rsidRPr="00A54CF2">
        <w:rPr>
          <w:rFonts w:asciiTheme="majorHAnsi" w:hAnsiTheme="majorHAnsi"/>
          <w:szCs w:val="26"/>
        </w:rPr>
        <w:t xml:space="preserve"> </w:t>
      </w:r>
    </w:p>
    <w:p w:rsidR="00710F11" w:rsidRDefault="00710F11" w:rsidP="00C97909">
      <w:pPr>
        <w:ind w:left="720"/>
        <w:rPr>
          <w:rFonts w:asciiTheme="majorHAnsi" w:hAnsiTheme="majorHAnsi"/>
          <w:szCs w:val="26"/>
        </w:rPr>
      </w:pPr>
    </w:p>
    <w:p w:rsidR="001A4A9B" w:rsidRPr="00710F11" w:rsidRDefault="00A54CF2" w:rsidP="00710F11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710F11">
        <w:rPr>
          <w:rFonts w:asciiTheme="majorHAnsi" w:hAnsiTheme="majorHAnsi"/>
          <w:sz w:val="28"/>
          <w:szCs w:val="28"/>
        </w:rPr>
        <w:t>New publication requirements from 1 May 2011</w:t>
      </w:r>
    </w:p>
    <w:p w:rsidR="00710F11" w:rsidRDefault="00A54CF2" w:rsidP="00710F11">
      <w:pPr>
        <w:pStyle w:val="ListParagraph"/>
        <w:numPr>
          <w:ilvl w:val="0"/>
          <w:numId w:val="16"/>
        </w:numPr>
        <w:rPr>
          <w:rFonts w:asciiTheme="majorHAnsi" w:hAnsiTheme="majorHAnsi"/>
          <w:szCs w:val="26"/>
        </w:rPr>
      </w:pPr>
      <w:r w:rsidRPr="00710F11">
        <w:rPr>
          <w:rFonts w:asciiTheme="majorHAnsi" w:hAnsiTheme="majorHAnsi"/>
          <w:szCs w:val="26"/>
        </w:rPr>
        <w:t>Information Publication Scheme, with additional web publication requirements – Information Publication Plan; ‘operational information’; and other information published by agencies</w:t>
      </w:r>
    </w:p>
    <w:p w:rsidR="001A4A9B" w:rsidRPr="00710F11" w:rsidRDefault="00A54CF2" w:rsidP="00710F11">
      <w:pPr>
        <w:pStyle w:val="ListParagraph"/>
        <w:numPr>
          <w:ilvl w:val="0"/>
          <w:numId w:val="16"/>
        </w:numPr>
        <w:rPr>
          <w:rFonts w:asciiTheme="majorHAnsi" w:hAnsiTheme="majorHAnsi"/>
          <w:szCs w:val="26"/>
        </w:rPr>
      </w:pPr>
      <w:r w:rsidRPr="00710F11">
        <w:rPr>
          <w:rFonts w:asciiTheme="majorHAnsi" w:hAnsiTheme="majorHAnsi"/>
          <w:b/>
          <w:bCs/>
          <w:szCs w:val="26"/>
        </w:rPr>
        <w:t>‘</w:t>
      </w:r>
      <w:r w:rsidRPr="00710F11">
        <w:rPr>
          <w:rFonts w:asciiTheme="majorHAnsi" w:hAnsiTheme="majorHAnsi"/>
          <w:szCs w:val="26"/>
        </w:rPr>
        <w:t>Disclosure log’ – publication within 10 days of information of details of FOI releases</w:t>
      </w:r>
      <w:r w:rsidRPr="00710F11">
        <w:rPr>
          <w:rFonts w:asciiTheme="majorHAnsi" w:hAnsiTheme="majorHAnsi"/>
          <w:b/>
          <w:bCs/>
          <w:szCs w:val="26"/>
        </w:rPr>
        <w:t xml:space="preserve"> </w:t>
      </w:r>
    </w:p>
    <w:p w:rsidR="00710F11" w:rsidRDefault="00710F11" w:rsidP="0080343E">
      <w:pPr>
        <w:rPr>
          <w:rFonts w:asciiTheme="majorHAnsi" w:hAnsiTheme="majorHAnsi"/>
          <w:b/>
          <w:bCs/>
          <w:szCs w:val="26"/>
        </w:rPr>
      </w:pPr>
    </w:p>
    <w:p w:rsidR="0080343E" w:rsidRDefault="0080343E" w:rsidP="0080343E">
      <w:pPr>
        <w:rPr>
          <w:rFonts w:asciiTheme="majorHAnsi" w:hAnsiTheme="majorHAnsi"/>
          <w:b/>
          <w:bCs/>
          <w:sz w:val="32"/>
          <w:szCs w:val="32"/>
        </w:rPr>
      </w:pPr>
      <w:r w:rsidRPr="00710F11">
        <w:rPr>
          <w:rFonts w:asciiTheme="majorHAnsi" w:hAnsiTheme="majorHAnsi"/>
          <w:b/>
          <w:bCs/>
          <w:sz w:val="32"/>
          <w:szCs w:val="32"/>
        </w:rPr>
        <w:t>Key messages for agencies</w:t>
      </w:r>
    </w:p>
    <w:p w:rsidR="00710F11" w:rsidRPr="00710F11" w:rsidRDefault="00710F11" w:rsidP="0080343E">
      <w:pPr>
        <w:rPr>
          <w:rFonts w:asciiTheme="majorHAnsi" w:hAnsiTheme="majorHAnsi"/>
          <w:sz w:val="32"/>
          <w:szCs w:val="32"/>
        </w:rPr>
      </w:pPr>
    </w:p>
    <w:p w:rsidR="001A4A9B" w:rsidRPr="00710F11" w:rsidRDefault="00A54CF2" w:rsidP="00710F11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710F11">
        <w:rPr>
          <w:rFonts w:asciiTheme="majorHAnsi" w:hAnsiTheme="majorHAnsi"/>
          <w:sz w:val="28"/>
          <w:szCs w:val="28"/>
        </w:rPr>
        <w:t>The Government expects cultural change</w:t>
      </w:r>
      <w:r w:rsidR="001156B4">
        <w:rPr>
          <w:rFonts w:asciiTheme="majorHAnsi" w:hAnsiTheme="majorHAnsi"/>
          <w:sz w:val="28"/>
          <w:szCs w:val="28"/>
        </w:rPr>
        <w:t xml:space="preserve"> and agency leadership</w:t>
      </w:r>
    </w:p>
    <w:p w:rsidR="0080343E" w:rsidRDefault="0080343E" w:rsidP="00710F11">
      <w:pPr>
        <w:ind w:left="720"/>
        <w:rPr>
          <w:rFonts w:asciiTheme="majorHAnsi" w:hAnsiTheme="majorHAnsi"/>
          <w:szCs w:val="26"/>
        </w:rPr>
      </w:pPr>
      <w:r w:rsidRPr="00A54CF2">
        <w:rPr>
          <w:rFonts w:asciiTheme="majorHAnsi" w:hAnsiTheme="majorHAnsi"/>
          <w:szCs w:val="26"/>
        </w:rPr>
        <w:t>‘</w:t>
      </w:r>
      <w:proofErr w:type="gramStart"/>
      <w:r w:rsidRPr="00A54CF2">
        <w:rPr>
          <w:rFonts w:asciiTheme="majorHAnsi" w:hAnsiTheme="majorHAnsi"/>
          <w:i/>
          <w:iCs/>
          <w:szCs w:val="26"/>
        </w:rPr>
        <w:t>we</w:t>
      </w:r>
      <w:proofErr w:type="gramEnd"/>
      <w:r w:rsidRPr="00A54CF2">
        <w:rPr>
          <w:rFonts w:asciiTheme="majorHAnsi" w:hAnsiTheme="majorHAnsi"/>
          <w:i/>
          <w:iCs/>
          <w:szCs w:val="26"/>
        </w:rPr>
        <w:t xml:space="preserve"> need to switch the mindset in the public service from information control to information sharing’ </w:t>
      </w:r>
      <w:r w:rsidRPr="00A54CF2">
        <w:rPr>
          <w:rFonts w:asciiTheme="majorHAnsi" w:hAnsiTheme="majorHAnsi"/>
          <w:szCs w:val="26"/>
        </w:rPr>
        <w:t>(Senator Ludwig)</w:t>
      </w:r>
    </w:p>
    <w:p w:rsidR="00710F11" w:rsidRPr="00A54CF2" w:rsidRDefault="00710F11" w:rsidP="00710F11">
      <w:pPr>
        <w:ind w:left="720"/>
        <w:rPr>
          <w:rFonts w:asciiTheme="majorHAnsi" w:hAnsiTheme="majorHAnsi"/>
          <w:szCs w:val="26"/>
        </w:rPr>
      </w:pPr>
    </w:p>
    <w:p w:rsidR="001A4A9B" w:rsidRPr="00710F11" w:rsidRDefault="00A54CF2" w:rsidP="00710F11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710F11">
        <w:rPr>
          <w:rFonts w:asciiTheme="majorHAnsi" w:hAnsiTheme="majorHAnsi"/>
          <w:sz w:val="28"/>
          <w:szCs w:val="28"/>
        </w:rPr>
        <w:t>The reforms could impose extra work on agencies:</w:t>
      </w:r>
    </w:p>
    <w:p w:rsidR="00710F11" w:rsidRDefault="00A54CF2" w:rsidP="00710F11">
      <w:pPr>
        <w:pStyle w:val="ListParagraph"/>
        <w:numPr>
          <w:ilvl w:val="1"/>
          <w:numId w:val="15"/>
        </w:numPr>
        <w:rPr>
          <w:rFonts w:asciiTheme="majorHAnsi" w:hAnsiTheme="majorHAnsi"/>
          <w:szCs w:val="26"/>
        </w:rPr>
      </w:pPr>
      <w:r w:rsidRPr="00710F11">
        <w:rPr>
          <w:rFonts w:asciiTheme="majorHAnsi" w:hAnsiTheme="majorHAnsi"/>
          <w:szCs w:val="26"/>
        </w:rPr>
        <w:t>An increase in FOI requests, especially for policy material</w:t>
      </w:r>
    </w:p>
    <w:p w:rsidR="001A4A9B" w:rsidRDefault="00A54CF2" w:rsidP="00710F11">
      <w:pPr>
        <w:pStyle w:val="ListParagraph"/>
        <w:numPr>
          <w:ilvl w:val="1"/>
          <w:numId w:val="15"/>
        </w:numPr>
        <w:rPr>
          <w:rFonts w:asciiTheme="majorHAnsi" w:hAnsiTheme="majorHAnsi"/>
          <w:szCs w:val="26"/>
        </w:rPr>
      </w:pPr>
      <w:r w:rsidRPr="00710F11">
        <w:rPr>
          <w:rFonts w:asciiTheme="majorHAnsi" w:hAnsiTheme="majorHAnsi"/>
          <w:szCs w:val="26"/>
        </w:rPr>
        <w:t>Web publication of more material under the IPS</w:t>
      </w:r>
    </w:p>
    <w:p w:rsidR="00710F11" w:rsidRPr="00710F11" w:rsidRDefault="00710F11" w:rsidP="00710F11">
      <w:pPr>
        <w:pStyle w:val="ListParagraph"/>
        <w:ind w:left="1440"/>
        <w:rPr>
          <w:rFonts w:asciiTheme="majorHAnsi" w:hAnsiTheme="majorHAnsi"/>
          <w:szCs w:val="26"/>
        </w:rPr>
      </w:pPr>
    </w:p>
    <w:p w:rsidR="001A4A9B" w:rsidRPr="00710F11" w:rsidRDefault="00A54CF2" w:rsidP="00710F11">
      <w:pPr>
        <w:pStyle w:val="ListParagraph"/>
        <w:numPr>
          <w:ilvl w:val="0"/>
          <w:numId w:val="15"/>
        </w:numPr>
        <w:rPr>
          <w:rFonts w:asciiTheme="majorHAnsi" w:hAnsiTheme="majorHAnsi"/>
          <w:sz w:val="28"/>
          <w:szCs w:val="28"/>
        </w:rPr>
      </w:pPr>
      <w:r w:rsidRPr="00710F11">
        <w:rPr>
          <w:rFonts w:asciiTheme="majorHAnsi" w:hAnsiTheme="majorHAnsi"/>
          <w:sz w:val="28"/>
          <w:szCs w:val="28"/>
        </w:rPr>
        <w:t>Possible pressure points:</w:t>
      </w:r>
    </w:p>
    <w:p w:rsidR="001A4A9B" w:rsidRPr="00710F11" w:rsidRDefault="00A54CF2" w:rsidP="00710F11">
      <w:pPr>
        <w:pStyle w:val="ListParagraph"/>
        <w:numPr>
          <w:ilvl w:val="0"/>
          <w:numId w:val="17"/>
        </w:numPr>
        <w:rPr>
          <w:rFonts w:asciiTheme="majorHAnsi" w:hAnsiTheme="majorHAnsi"/>
          <w:szCs w:val="26"/>
        </w:rPr>
      </w:pPr>
      <w:r w:rsidRPr="00710F11">
        <w:rPr>
          <w:rFonts w:asciiTheme="majorHAnsi" w:hAnsiTheme="majorHAnsi"/>
          <w:szCs w:val="26"/>
        </w:rPr>
        <w:t>Moving information from the intranet to the web</w:t>
      </w:r>
    </w:p>
    <w:p w:rsidR="001156B4" w:rsidRDefault="00A54CF2" w:rsidP="001156B4">
      <w:pPr>
        <w:pStyle w:val="ListParagraph"/>
        <w:numPr>
          <w:ilvl w:val="0"/>
          <w:numId w:val="17"/>
        </w:numPr>
        <w:rPr>
          <w:rFonts w:asciiTheme="majorHAnsi" w:hAnsiTheme="majorHAnsi"/>
          <w:szCs w:val="26"/>
        </w:rPr>
      </w:pPr>
      <w:r w:rsidRPr="00710F11">
        <w:rPr>
          <w:rFonts w:asciiTheme="majorHAnsi" w:hAnsiTheme="majorHAnsi"/>
          <w:szCs w:val="26"/>
        </w:rPr>
        <w:t xml:space="preserve">Dealing with </w:t>
      </w:r>
      <w:r w:rsidR="001156B4">
        <w:rPr>
          <w:rFonts w:asciiTheme="majorHAnsi" w:hAnsiTheme="majorHAnsi"/>
          <w:szCs w:val="26"/>
        </w:rPr>
        <w:t>FOI test case requests/</w:t>
      </w:r>
      <w:r w:rsidRPr="00710F11">
        <w:rPr>
          <w:rFonts w:asciiTheme="majorHAnsi" w:hAnsiTheme="majorHAnsi"/>
          <w:szCs w:val="26"/>
        </w:rPr>
        <w:t>sensitive FOI requests</w:t>
      </w:r>
      <w:r w:rsidR="001156B4">
        <w:rPr>
          <w:rFonts w:asciiTheme="majorHAnsi" w:hAnsiTheme="majorHAnsi"/>
          <w:szCs w:val="26"/>
        </w:rPr>
        <w:t xml:space="preserve">, </w:t>
      </w:r>
      <w:r w:rsidR="00911ABC">
        <w:rPr>
          <w:rFonts w:asciiTheme="majorHAnsi" w:hAnsiTheme="majorHAnsi"/>
          <w:szCs w:val="26"/>
        </w:rPr>
        <w:t>that aim to test</w:t>
      </w:r>
      <w:r w:rsidR="001156B4">
        <w:rPr>
          <w:rFonts w:asciiTheme="majorHAnsi" w:hAnsiTheme="majorHAnsi"/>
          <w:szCs w:val="26"/>
        </w:rPr>
        <w:t xml:space="preserve"> the secrecy/disclosure boundary</w:t>
      </w:r>
    </w:p>
    <w:p w:rsidR="001156B4" w:rsidRDefault="001156B4" w:rsidP="001156B4">
      <w:pPr>
        <w:pStyle w:val="ListParagraph"/>
        <w:numPr>
          <w:ilvl w:val="0"/>
          <w:numId w:val="17"/>
        </w:numPr>
        <w:rPr>
          <w:rFonts w:asciiTheme="majorHAnsi" w:hAnsiTheme="majorHAnsi"/>
          <w:szCs w:val="26"/>
        </w:rPr>
      </w:pPr>
      <w:r>
        <w:rPr>
          <w:rFonts w:asciiTheme="majorHAnsi" w:hAnsiTheme="majorHAnsi"/>
          <w:szCs w:val="26"/>
        </w:rPr>
        <w:t>Adequacy of agency record kee</w:t>
      </w:r>
      <w:r w:rsidR="00911ABC">
        <w:rPr>
          <w:rFonts w:asciiTheme="majorHAnsi" w:hAnsiTheme="majorHAnsi"/>
          <w:szCs w:val="26"/>
        </w:rPr>
        <w:t>ping – pressure to move to ERM</w:t>
      </w:r>
    </w:p>
    <w:p w:rsidR="001A4A9B" w:rsidRDefault="00911ABC" w:rsidP="00710F11">
      <w:pPr>
        <w:pStyle w:val="ListParagraph"/>
        <w:numPr>
          <w:ilvl w:val="0"/>
          <w:numId w:val="17"/>
        </w:numPr>
        <w:rPr>
          <w:rFonts w:asciiTheme="majorHAnsi" w:hAnsiTheme="majorHAnsi"/>
          <w:szCs w:val="26"/>
        </w:rPr>
      </w:pPr>
      <w:r>
        <w:rPr>
          <w:rFonts w:asciiTheme="majorHAnsi" w:hAnsiTheme="majorHAnsi"/>
          <w:szCs w:val="26"/>
        </w:rPr>
        <w:t xml:space="preserve">Ministerial interest in </w:t>
      </w:r>
      <w:r w:rsidR="00A54CF2" w:rsidRPr="00710F11">
        <w:rPr>
          <w:rFonts w:asciiTheme="majorHAnsi" w:hAnsiTheme="majorHAnsi"/>
          <w:szCs w:val="26"/>
        </w:rPr>
        <w:t>individual disclosure decisions</w:t>
      </w:r>
      <w:r>
        <w:rPr>
          <w:rFonts w:asciiTheme="majorHAnsi" w:hAnsiTheme="majorHAnsi"/>
          <w:szCs w:val="26"/>
        </w:rPr>
        <w:t xml:space="preserve"> of agencies</w:t>
      </w:r>
    </w:p>
    <w:p w:rsidR="00C97909" w:rsidRPr="00911ABC" w:rsidRDefault="001156B4" w:rsidP="0080343E">
      <w:pPr>
        <w:pStyle w:val="ListParagraph"/>
        <w:numPr>
          <w:ilvl w:val="0"/>
          <w:numId w:val="17"/>
        </w:numPr>
        <w:rPr>
          <w:rFonts w:asciiTheme="majorHAnsi" w:hAnsiTheme="majorHAnsi"/>
          <w:szCs w:val="26"/>
        </w:rPr>
      </w:pPr>
      <w:r w:rsidRPr="00911ABC">
        <w:rPr>
          <w:rFonts w:asciiTheme="majorHAnsi" w:hAnsiTheme="majorHAnsi"/>
          <w:szCs w:val="26"/>
        </w:rPr>
        <w:t>Media disquiet at disclosure log mechanism</w:t>
      </w:r>
    </w:p>
    <w:sectPr w:rsidR="00C97909" w:rsidRPr="00911ABC" w:rsidSect="007E23E8">
      <w:headerReference w:type="default" r:id="rId8"/>
      <w:footerReference w:type="default" r:id="rId9"/>
      <w:pgSz w:w="11899" w:h="16838"/>
      <w:pgMar w:top="2552" w:right="1800" w:bottom="1440" w:left="1843" w:header="56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5F0" w:rsidRDefault="00B325F0" w:rsidP="0025299A">
      <w:r>
        <w:separator/>
      </w:r>
    </w:p>
  </w:endnote>
  <w:endnote w:type="continuationSeparator" w:id="0">
    <w:p w:rsidR="00B325F0" w:rsidRDefault="00B325F0" w:rsidP="0025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F0" w:rsidRDefault="00B325F0" w:rsidP="00AB231C">
    <w:pPr>
      <w:pStyle w:val="Footer"/>
      <w:ind w:hanging="1800"/>
    </w:pPr>
    <w:r w:rsidRPr="00AB231C">
      <w:rPr>
        <w:noProof/>
        <w:lang w:eastAsia="en-AU"/>
      </w:rPr>
      <w:drawing>
        <wp:inline distT="0" distB="0" distL="0" distR="0">
          <wp:extent cx="7583424" cy="902208"/>
          <wp:effectExtent l="25400" t="0" r="11176" b="0"/>
          <wp:docPr id="4" name="Picture 2" descr="OAIC_Base_N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IC_Base_NS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3424" cy="90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5F0" w:rsidRDefault="00B325F0" w:rsidP="0025299A">
      <w:r>
        <w:separator/>
      </w:r>
    </w:p>
  </w:footnote>
  <w:footnote w:type="continuationSeparator" w:id="0">
    <w:p w:rsidR="00B325F0" w:rsidRDefault="00B325F0" w:rsidP="00252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F0" w:rsidRDefault="00B325F0" w:rsidP="00AB231C">
    <w:pPr>
      <w:pStyle w:val="Header"/>
      <w:ind w:hanging="1276"/>
    </w:pPr>
    <w:r w:rsidRPr="00AB231C">
      <w:rPr>
        <w:noProof/>
        <w:lang w:eastAsia="en-AU"/>
      </w:rPr>
      <w:drawing>
        <wp:inline distT="0" distB="0" distL="0" distR="0">
          <wp:extent cx="3992880" cy="752856"/>
          <wp:effectExtent l="25400" t="0" r="0" b="0"/>
          <wp:docPr id="2" name="Picture 0" descr="OAIC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IC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92880" cy="752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5EE7"/>
    <w:multiLevelType w:val="hybridMultilevel"/>
    <w:tmpl w:val="CE587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619A9"/>
    <w:multiLevelType w:val="hybridMultilevel"/>
    <w:tmpl w:val="22BA9F10"/>
    <w:lvl w:ilvl="0" w:tplc="A7D2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07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E9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C2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C8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2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2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88D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827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8618E6"/>
    <w:multiLevelType w:val="hybridMultilevel"/>
    <w:tmpl w:val="E022020A"/>
    <w:lvl w:ilvl="0" w:tplc="AE0E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A45C6">
      <w:start w:val="101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DCE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09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EC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05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A3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89B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8B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05058C"/>
    <w:multiLevelType w:val="hybridMultilevel"/>
    <w:tmpl w:val="FE268D56"/>
    <w:lvl w:ilvl="0" w:tplc="B8AE8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43FA8">
      <w:start w:val="13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1EA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6E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CB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E7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EB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227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EB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445D83"/>
    <w:multiLevelType w:val="hybridMultilevel"/>
    <w:tmpl w:val="7C228C22"/>
    <w:lvl w:ilvl="0" w:tplc="89CCE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D4E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3A6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44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6F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0A5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C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82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2D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945078"/>
    <w:multiLevelType w:val="hybridMultilevel"/>
    <w:tmpl w:val="9A74F1D4"/>
    <w:lvl w:ilvl="0" w:tplc="DE8EA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E8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CD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09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C6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C1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2C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C0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F62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370DE9"/>
    <w:multiLevelType w:val="hybridMultilevel"/>
    <w:tmpl w:val="9D648224"/>
    <w:lvl w:ilvl="0" w:tplc="141A6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06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E89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4C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7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20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62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CE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AB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CD0E33"/>
    <w:multiLevelType w:val="hybridMultilevel"/>
    <w:tmpl w:val="E7D2F44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271138"/>
    <w:multiLevelType w:val="hybridMultilevel"/>
    <w:tmpl w:val="8056D686"/>
    <w:lvl w:ilvl="0" w:tplc="5EF40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2E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F60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FAE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A8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67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4A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40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E2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DEA5632"/>
    <w:multiLevelType w:val="hybridMultilevel"/>
    <w:tmpl w:val="FEF819BA"/>
    <w:lvl w:ilvl="0" w:tplc="45C4D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AD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C21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0B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40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8046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A9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65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F2A418F"/>
    <w:multiLevelType w:val="hybridMultilevel"/>
    <w:tmpl w:val="88D269E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C669EB"/>
    <w:multiLevelType w:val="hybridMultilevel"/>
    <w:tmpl w:val="620A9E74"/>
    <w:lvl w:ilvl="0" w:tplc="31563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EA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46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2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CA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CAF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CD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0E2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3AA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D0810E7"/>
    <w:multiLevelType w:val="hybridMultilevel"/>
    <w:tmpl w:val="1488ECDE"/>
    <w:lvl w:ilvl="0" w:tplc="D5CEF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A1D96">
      <w:start w:val="13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D8B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60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68A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00A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CA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869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2B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D4D6380"/>
    <w:multiLevelType w:val="hybridMultilevel"/>
    <w:tmpl w:val="D2FEE298"/>
    <w:lvl w:ilvl="0" w:tplc="A790F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6C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8E6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CA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CD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C1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6D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60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2B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EA159CD"/>
    <w:multiLevelType w:val="hybridMultilevel"/>
    <w:tmpl w:val="D012F8E6"/>
    <w:lvl w:ilvl="0" w:tplc="13E24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49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C4F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A9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65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89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0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0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6AE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1103CE5"/>
    <w:multiLevelType w:val="hybridMultilevel"/>
    <w:tmpl w:val="D60AC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531036"/>
    <w:multiLevelType w:val="hybridMultilevel"/>
    <w:tmpl w:val="4626B1CC"/>
    <w:lvl w:ilvl="0" w:tplc="5D364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094FA">
      <w:start w:val="101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AA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80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ED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49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3E5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0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86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12"/>
  </w:num>
  <w:num w:numId="8">
    <w:abstractNumId w:val="14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2"/>
  </w:num>
  <w:num w:numId="14">
    <w:abstractNumId w:val="0"/>
  </w:num>
  <w:num w:numId="15">
    <w:abstractNumId w:val="15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1C"/>
    <w:rsid w:val="001156B4"/>
    <w:rsid w:val="001A4A9B"/>
    <w:rsid w:val="0025299A"/>
    <w:rsid w:val="00515B8F"/>
    <w:rsid w:val="00580999"/>
    <w:rsid w:val="00607DF0"/>
    <w:rsid w:val="00684AA1"/>
    <w:rsid w:val="00710F11"/>
    <w:rsid w:val="007C323F"/>
    <w:rsid w:val="007E23E8"/>
    <w:rsid w:val="0080343E"/>
    <w:rsid w:val="00820480"/>
    <w:rsid w:val="00911ABC"/>
    <w:rsid w:val="00A1184F"/>
    <w:rsid w:val="00A54CF2"/>
    <w:rsid w:val="00AB231C"/>
    <w:rsid w:val="00B325F0"/>
    <w:rsid w:val="00C10F60"/>
    <w:rsid w:val="00C603D4"/>
    <w:rsid w:val="00C97909"/>
    <w:rsid w:val="00D12E50"/>
    <w:rsid w:val="00D337B0"/>
    <w:rsid w:val="00F24C0C"/>
    <w:rsid w:val="00FA1520"/>
    <w:rsid w:val="00FC0B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10"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23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31C"/>
    <w:rPr>
      <w:sz w:val="24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AB23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31C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3E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C97909"/>
    <w:pPr>
      <w:ind w:left="720"/>
      <w:contextualSpacing/>
    </w:pPr>
  </w:style>
  <w:style w:type="table" w:styleId="TableGrid">
    <w:name w:val="Table Grid"/>
    <w:basedOn w:val="TableNormal"/>
    <w:uiPriority w:val="59"/>
    <w:rsid w:val="00B325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10"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23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231C"/>
    <w:rPr>
      <w:sz w:val="24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AB23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231C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3E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C97909"/>
    <w:pPr>
      <w:ind w:left="720"/>
      <w:contextualSpacing/>
    </w:pPr>
  </w:style>
  <w:style w:type="table" w:styleId="TableGrid">
    <w:name w:val="Table Grid"/>
    <w:basedOn w:val="TableNormal"/>
    <w:uiPriority w:val="59"/>
    <w:rsid w:val="00B325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491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465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6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1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232">
          <w:marLeft w:val="10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9728">
          <w:marLeft w:val="10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16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4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362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95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83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60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846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027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0244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154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1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79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292">
          <w:marLeft w:val="10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6784">
          <w:marLeft w:val="10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4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1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869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177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79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155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659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898">
          <w:marLeft w:val="1022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68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01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823">
          <w:marLeft w:val="54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8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61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877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Gum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Daniels</dc:creator>
  <cp:lastModifiedBy>John McMillan</cp:lastModifiedBy>
  <cp:revision>4</cp:revision>
  <cp:lastPrinted>2010-11-16T04:43:00Z</cp:lastPrinted>
  <dcterms:created xsi:type="dcterms:W3CDTF">2010-11-15T05:18:00Z</dcterms:created>
  <dcterms:modified xsi:type="dcterms:W3CDTF">2010-11-16T04:59:00Z</dcterms:modified>
</cp:coreProperties>
</file>