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33" w:rsidRPr="006A6F7F" w:rsidRDefault="00A67233" w:rsidP="00A67233">
      <w:pPr>
        <w:pStyle w:val="Level3"/>
        <w:numPr>
          <w:ilvl w:val="0"/>
          <w:numId w:val="0"/>
        </w:numPr>
      </w:pPr>
    </w:p>
    <w:p w:rsidR="00A67233" w:rsidRPr="006A6F7F" w:rsidRDefault="00A67233" w:rsidP="00A67233">
      <w:pPr>
        <w:pStyle w:val="Level3"/>
        <w:numPr>
          <w:ilvl w:val="0"/>
          <w:numId w:val="0"/>
        </w:numPr>
      </w:pPr>
    </w:p>
    <w:p w:rsidR="00A67233" w:rsidRPr="006A6F7F" w:rsidRDefault="00A67233" w:rsidP="00A67233">
      <w:pPr>
        <w:pStyle w:val="Level3"/>
        <w:numPr>
          <w:ilvl w:val="0"/>
          <w:numId w:val="0"/>
        </w:numPr>
      </w:pPr>
    </w:p>
    <w:p w:rsidR="00A67233" w:rsidRDefault="00A67233" w:rsidP="00A67233">
      <w:pPr>
        <w:ind w:left="1920"/>
        <w:rPr>
          <w:sz w:val="36"/>
        </w:rPr>
      </w:pPr>
      <w:r>
        <w:rPr>
          <w:sz w:val="36"/>
        </w:rPr>
        <w:t>The Senate</w:t>
      </w:r>
    </w:p>
    <w:p w:rsidR="00A67233" w:rsidRPr="006A6F7F" w:rsidRDefault="00A67233" w:rsidP="00A67233">
      <w:pPr>
        <w:pStyle w:val="Level3"/>
        <w:numPr>
          <w:ilvl w:val="0"/>
          <w:numId w:val="0"/>
        </w:numPr>
      </w:pPr>
    </w:p>
    <w:p w:rsidR="00A67233" w:rsidRPr="006A6F7F" w:rsidRDefault="00A67233" w:rsidP="00A67233">
      <w:pPr>
        <w:pStyle w:val="Level3"/>
        <w:numPr>
          <w:ilvl w:val="0"/>
          <w:numId w:val="0"/>
        </w:numPr>
      </w:pPr>
    </w:p>
    <w:p w:rsidR="00A67233" w:rsidRPr="006A6F7F" w:rsidRDefault="00A67233" w:rsidP="00A67233">
      <w:pPr>
        <w:pStyle w:val="Level3"/>
        <w:numPr>
          <w:ilvl w:val="0"/>
          <w:numId w:val="0"/>
        </w:numPr>
      </w:pPr>
    </w:p>
    <w:p w:rsidR="00A67233" w:rsidRPr="006A6F7F" w:rsidRDefault="00A67233" w:rsidP="00A67233">
      <w:pPr>
        <w:pStyle w:val="Level3"/>
        <w:numPr>
          <w:ilvl w:val="0"/>
          <w:numId w:val="0"/>
        </w:numPr>
        <w:tabs>
          <w:tab w:val="left" w:pos="1920"/>
        </w:tabs>
        <w:spacing w:after="120"/>
        <w:ind w:right="866"/>
        <w:jc w:val="left"/>
      </w:pPr>
    </w:p>
    <w:p w:rsidR="00A67233" w:rsidRDefault="00A67233" w:rsidP="00A67233">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A67233" w:rsidRPr="004A0A31" w:rsidRDefault="00A67233" w:rsidP="00A67233">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A67233" w:rsidRPr="002C2B31" w:rsidRDefault="00A67233" w:rsidP="00A67233">
      <w:pPr>
        <w:tabs>
          <w:tab w:val="left" w:pos="8640"/>
        </w:tabs>
        <w:spacing w:before="720" w:after="0" w:line="460" w:lineRule="exact"/>
        <w:ind w:left="1922" w:right="1244"/>
        <w:jc w:val="left"/>
        <w:rPr>
          <w:sz w:val="36"/>
          <w:szCs w:val="36"/>
        </w:rPr>
      </w:pPr>
      <w:r>
        <w:rPr>
          <w:sz w:val="36"/>
          <w:szCs w:val="36"/>
        </w:rPr>
        <w:t>Delegated legislation monitor</w:t>
      </w:r>
    </w:p>
    <w:p w:rsidR="00A67233" w:rsidRDefault="00A67233" w:rsidP="00A67233">
      <w:pPr>
        <w:tabs>
          <w:tab w:val="left" w:pos="8789"/>
        </w:tabs>
        <w:spacing w:before="600" w:after="0" w:line="480" w:lineRule="exact"/>
        <w:ind w:left="1922" w:right="237"/>
        <w:jc w:val="left"/>
        <w:rPr>
          <w:sz w:val="24"/>
          <w:szCs w:val="24"/>
        </w:rPr>
      </w:pPr>
      <w:r>
        <w:rPr>
          <w:sz w:val="24"/>
          <w:szCs w:val="24"/>
        </w:rPr>
        <w:t>Monitor No. 3 of 2013</w:t>
      </w:r>
    </w:p>
    <w:p w:rsidR="00A67233" w:rsidRDefault="00A67233" w:rsidP="00A67233">
      <w:pPr>
        <w:tabs>
          <w:tab w:val="left" w:pos="8789"/>
        </w:tabs>
        <w:spacing w:before="600" w:after="0" w:line="240" w:lineRule="exact"/>
        <w:ind w:left="1922" w:right="238"/>
        <w:jc w:val="left"/>
        <w:rPr>
          <w:sz w:val="24"/>
          <w:szCs w:val="24"/>
        </w:rPr>
      </w:pPr>
    </w:p>
    <w:p w:rsidR="00A67233" w:rsidRPr="002D2B97" w:rsidRDefault="00A67233" w:rsidP="00A67233">
      <w:pPr>
        <w:tabs>
          <w:tab w:val="left" w:pos="8789"/>
        </w:tabs>
        <w:spacing w:after="0" w:line="240" w:lineRule="exact"/>
        <w:ind w:left="1922" w:right="238"/>
        <w:jc w:val="left"/>
        <w:rPr>
          <w:sz w:val="24"/>
          <w:szCs w:val="24"/>
        </w:rPr>
      </w:pPr>
    </w:p>
    <w:p w:rsidR="00A67233" w:rsidRDefault="00A67233" w:rsidP="00A67233">
      <w:pPr>
        <w:rPr>
          <w:sz w:val="18"/>
        </w:rPr>
      </w:pPr>
    </w:p>
    <w:p w:rsidR="00A67233" w:rsidRDefault="00A67233" w:rsidP="00A67233">
      <w:pPr>
        <w:rPr>
          <w:sz w:val="18"/>
        </w:rPr>
      </w:pPr>
    </w:p>
    <w:p w:rsidR="00A67233" w:rsidRDefault="00A67233" w:rsidP="00A67233">
      <w:pPr>
        <w:rPr>
          <w:sz w:val="18"/>
        </w:rPr>
      </w:pPr>
    </w:p>
    <w:p w:rsidR="00A67233" w:rsidRDefault="00A67233" w:rsidP="00A67233">
      <w:pPr>
        <w:rPr>
          <w:sz w:val="18"/>
        </w:rPr>
      </w:pPr>
    </w:p>
    <w:p w:rsidR="00A67233" w:rsidRDefault="00A67233" w:rsidP="00A67233">
      <w:pPr>
        <w:rPr>
          <w:sz w:val="18"/>
        </w:rPr>
      </w:pPr>
    </w:p>
    <w:p w:rsidR="00A67233" w:rsidRDefault="00A67233" w:rsidP="00A67233">
      <w:pPr>
        <w:rPr>
          <w:sz w:val="18"/>
        </w:rPr>
      </w:pPr>
    </w:p>
    <w:p w:rsidR="00A67233" w:rsidRPr="00BF4D76" w:rsidRDefault="00A67233" w:rsidP="00A67233">
      <w:pPr>
        <w:tabs>
          <w:tab w:val="right" w:pos="8789"/>
        </w:tabs>
        <w:spacing w:after="0"/>
        <w:jc w:val="left"/>
        <w:rPr>
          <w:rFonts w:ascii="Frutiger 55 roman" w:hAnsi="Frutiger 55 roman" w:cs="Calibri"/>
          <w:sz w:val="28"/>
        </w:rPr>
      </w:pPr>
      <w:r>
        <w:rPr>
          <w:sz w:val="28"/>
        </w:rPr>
        <w:tab/>
      </w:r>
      <w:r>
        <w:rPr>
          <w:rFonts w:ascii="Frutiger 55 roman" w:hAnsi="Frutiger 55 roman" w:cs="Calibri"/>
          <w:sz w:val="28"/>
        </w:rPr>
        <w:t xml:space="preserve">14 March </w:t>
      </w:r>
      <w:r w:rsidRPr="00BF4D76">
        <w:rPr>
          <w:rFonts w:ascii="Frutiger 55 roman" w:hAnsi="Frutiger 55 roman" w:cs="Calibri"/>
          <w:sz w:val="28"/>
        </w:rPr>
        <w:t>201</w:t>
      </w:r>
      <w:r>
        <w:rPr>
          <w:rFonts w:ascii="Frutiger 55 roman" w:hAnsi="Frutiger 55 roman" w:cs="Calibri"/>
          <w:sz w:val="28"/>
        </w:rPr>
        <w:t>3</w:t>
      </w:r>
    </w:p>
    <w:p w:rsidR="00A67233" w:rsidRPr="001F6A19" w:rsidRDefault="00A67233" w:rsidP="00A67233">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3</w:t>
      </w:r>
    </w:p>
    <w:p w:rsidR="00A67233" w:rsidRPr="001F6A19" w:rsidRDefault="00A67233" w:rsidP="00A67233">
      <w:pPr>
        <w:suppressAutoHyphens/>
        <w:spacing w:after="0"/>
        <w:rPr>
          <w:spacing w:val="-3"/>
          <w:sz w:val="24"/>
          <w:szCs w:val="24"/>
        </w:rPr>
      </w:pPr>
    </w:p>
    <w:p w:rsidR="00A67233" w:rsidRPr="009336BC" w:rsidRDefault="00A67233" w:rsidP="00A67233">
      <w:pPr>
        <w:spacing w:after="0"/>
        <w:outlineLvl w:val="0"/>
        <w:rPr>
          <w:spacing w:val="-3"/>
          <w:sz w:val="24"/>
          <w:szCs w:val="24"/>
        </w:rPr>
      </w:pPr>
      <w:r>
        <w:rPr>
          <w:spacing w:val="-3"/>
          <w:sz w:val="24"/>
          <w:szCs w:val="24"/>
        </w:rPr>
        <w:t xml:space="preserve">ISSN </w:t>
      </w:r>
      <w:r w:rsidRPr="009336BC">
        <w:rPr>
          <w:spacing w:val="-3"/>
          <w:sz w:val="24"/>
          <w:szCs w:val="24"/>
        </w:rPr>
        <w:t>2201-8689 (print)</w:t>
      </w:r>
    </w:p>
    <w:p w:rsidR="00A67233" w:rsidRPr="009336BC" w:rsidRDefault="00A67233" w:rsidP="00A67233">
      <w:pPr>
        <w:spacing w:after="0"/>
        <w:outlineLvl w:val="0"/>
        <w:rPr>
          <w:spacing w:val="-3"/>
          <w:sz w:val="24"/>
          <w:szCs w:val="24"/>
        </w:rPr>
      </w:pPr>
      <w:r>
        <w:rPr>
          <w:spacing w:val="-3"/>
          <w:sz w:val="24"/>
          <w:szCs w:val="24"/>
        </w:rPr>
        <w:t xml:space="preserve">ISSN </w:t>
      </w:r>
      <w:r w:rsidRPr="009336BC">
        <w:rPr>
          <w:spacing w:val="-3"/>
          <w:sz w:val="24"/>
          <w:szCs w:val="24"/>
        </w:rPr>
        <w:t>1447-2147 (online)</w:t>
      </w: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7576B7">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Default="00A67233" w:rsidP="00A67233">
      <w:pPr>
        <w:suppressAutoHyphens/>
        <w:spacing w:after="0"/>
        <w:rPr>
          <w:spacing w:val="-3"/>
        </w:rPr>
      </w:pPr>
    </w:p>
    <w:p w:rsidR="00A67233" w:rsidRPr="009336BC" w:rsidRDefault="00A67233" w:rsidP="00A67233">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w:t>
      </w:r>
      <w:r>
        <w:rPr>
          <w:spacing w:val="-3"/>
          <w:sz w:val="22"/>
          <w:szCs w:val="22"/>
        </w:rPr>
        <w:t xml:space="preserve">te, Parliament House, </w:t>
      </w:r>
      <w:proofErr w:type="gramStart"/>
      <w:r>
        <w:rPr>
          <w:spacing w:val="-3"/>
          <w:sz w:val="22"/>
          <w:szCs w:val="22"/>
        </w:rPr>
        <w:t>Canberra</w:t>
      </w:r>
      <w:proofErr w:type="gramEnd"/>
      <w:r>
        <w:rPr>
          <w:spacing w:val="-3"/>
          <w:sz w:val="22"/>
          <w:szCs w:val="22"/>
        </w:rPr>
        <w:t>.</w:t>
      </w:r>
    </w:p>
    <w:p w:rsidR="00A67233" w:rsidRDefault="00A67233" w:rsidP="00A67233">
      <w:pPr>
        <w:pStyle w:val="Heading1"/>
      </w:pPr>
      <w:bookmarkStart w:id="0" w:name="_Toc340231481"/>
      <w:r>
        <w:lastRenderedPageBreak/>
        <w:t>Membership of the committee</w:t>
      </w:r>
      <w:bookmarkEnd w:id="0"/>
    </w:p>
    <w:p w:rsidR="00A67233" w:rsidRDefault="00A67233" w:rsidP="00A67233">
      <w:pPr>
        <w:spacing w:after="0"/>
      </w:pPr>
    </w:p>
    <w:p w:rsidR="00A67233" w:rsidRDefault="00A67233" w:rsidP="00A67233">
      <w:pPr>
        <w:spacing w:after="0"/>
      </w:pPr>
    </w:p>
    <w:p w:rsidR="00A67233" w:rsidRDefault="00A67233" w:rsidP="00A67233">
      <w:pPr>
        <w:spacing w:after="0"/>
      </w:pPr>
    </w:p>
    <w:p w:rsidR="00A67233" w:rsidRDefault="00A67233" w:rsidP="00A67233">
      <w:pPr>
        <w:spacing w:after="0"/>
      </w:pPr>
    </w:p>
    <w:p w:rsidR="00A67233" w:rsidRDefault="00A67233" w:rsidP="00A67233">
      <w:pPr>
        <w:spacing w:after="0"/>
      </w:pPr>
    </w:p>
    <w:p w:rsidR="00A67233" w:rsidRPr="008A46B0" w:rsidRDefault="00A67233" w:rsidP="00A67233">
      <w:pPr>
        <w:tabs>
          <w:tab w:val="left" w:pos="4536"/>
        </w:tabs>
        <w:outlineLvl w:val="0"/>
        <w:rPr>
          <w:b/>
        </w:rPr>
      </w:pPr>
      <w:bookmarkStart w:id="1" w:name="_Toc340231482"/>
      <w:r>
        <w:rPr>
          <w:b/>
        </w:rPr>
        <w:t>Current m</w:t>
      </w:r>
      <w:r w:rsidRPr="008A46B0">
        <w:rPr>
          <w:b/>
        </w:rPr>
        <w:t>embers</w:t>
      </w:r>
      <w:bookmarkEnd w:id="1"/>
    </w:p>
    <w:p w:rsidR="00A67233" w:rsidRPr="001F6A19" w:rsidRDefault="00A67233" w:rsidP="00A67233">
      <w:pPr>
        <w:pStyle w:val="JNP2"/>
        <w:tabs>
          <w:tab w:val="right" w:pos="9026"/>
        </w:tabs>
        <w:ind w:left="0"/>
        <w:rPr>
          <w:sz w:val="24"/>
          <w:szCs w:val="24"/>
          <w:lang w:val="en-AU"/>
        </w:rPr>
      </w:pPr>
      <w:r w:rsidRPr="001F6A19">
        <w:rPr>
          <w:sz w:val="24"/>
          <w:szCs w:val="24"/>
          <w:lang w:val="en-AU"/>
        </w:rPr>
        <w:t>Senator Mark Furner (Chair)</w:t>
      </w:r>
      <w:r w:rsidRPr="001F6A19">
        <w:rPr>
          <w:sz w:val="24"/>
          <w:szCs w:val="24"/>
          <w:lang w:val="en-AU"/>
        </w:rPr>
        <w:tab/>
        <w:t>Queensland, ALP</w:t>
      </w:r>
    </w:p>
    <w:p w:rsidR="00A67233" w:rsidRPr="001F6A19" w:rsidRDefault="00A67233" w:rsidP="00A67233">
      <w:pPr>
        <w:pStyle w:val="JNP2"/>
        <w:tabs>
          <w:tab w:val="right" w:pos="9026"/>
        </w:tabs>
        <w:ind w:left="0"/>
        <w:rPr>
          <w:sz w:val="24"/>
          <w:szCs w:val="24"/>
          <w:lang w:val="en-AU"/>
        </w:rPr>
      </w:pPr>
      <w:r>
        <w:rPr>
          <w:sz w:val="24"/>
          <w:szCs w:val="24"/>
          <w:lang w:val="en-AU"/>
        </w:rPr>
        <w:t>Senator the Hon Richard Colbeck (Deputy Chair)</w:t>
      </w:r>
      <w:r>
        <w:rPr>
          <w:sz w:val="24"/>
          <w:szCs w:val="24"/>
          <w:lang w:val="en-AU"/>
        </w:rPr>
        <w:tab/>
        <w:t>Tasmania, LP</w:t>
      </w:r>
    </w:p>
    <w:p w:rsidR="00A67233" w:rsidRDefault="00A67233" w:rsidP="00A67233">
      <w:pPr>
        <w:pStyle w:val="JNP2"/>
        <w:tabs>
          <w:tab w:val="right" w:pos="9026"/>
        </w:tabs>
        <w:ind w:left="0"/>
        <w:rPr>
          <w:sz w:val="24"/>
          <w:szCs w:val="24"/>
          <w:lang w:val="en-AU"/>
        </w:rPr>
      </w:pPr>
      <w:r w:rsidRPr="001F6A19">
        <w:rPr>
          <w:sz w:val="24"/>
          <w:szCs w:val="24"/>
          <w:lang w:val="en-AU"/>
        </w:rPr>
        <w:t>Senator Claire Moore</w:t>
      </w:r>
      <w:r w:rsidRPr="001F6A19">
        <w:rPr>
          <w:sz w:val="24"/>
          <w:szCs w:val="24"/>
          <w:lang w:val="en-AU"/>
        </w:rPr>
        <w:tab/>
        <w:t>Queensland, ALP</w:t>
      </w:r>
    </w:p>
    <w:p w:rsidR="00A67233" w:rsidRPr="001F6A19" w:rsidRDefault="00A67233" w:rsidP="00A67233">
      <w:pPr>
        <w:pStyle w:val="JNP2"/>
        <w:tabs>
          <w:tab w:val="right" w:pos="9026"/>
        </w:tabs>
        <w:ind w:left="0"/>
        <w:rPr>
          <w:sz w:val="24"/>
          <w:szCs w:val="24"/>
          <w:lang w:val="en-AU"/>
        </w:rPr>
      </w:pPr>
      <w:r>
        <w:rPr>
          <w:sz w:val="24"/>
          <w:szCs w:val="24"/>
          <w:lang w:val="en-AU"/>
        </w:rPr>
        <w:t>Senator Louise Pratt</w:t>
      </w:r>
      <w:r>
        <w:rPr>
          <w:sz w:val="24"/>
          <w:szCs w:val="24"/>
          <w:lang w:val="en-AU"/>
        </w:rPr>
        <w:tab/>
        <w:t>Western Australia, ALP</w:t>
      </w:r>
    </w:p>
    <w:p w:rsidR="00A67233" w:rsidRPr="001F6A19" w:rsidRDefault="00A67233" w:rsidP="00A67233">
      <w:pPr>
        <w:pStyle w:val="JNP2"/>
        <w:tabs>
          <w:tab w:val="right" w:pos="9026"/>
        </w:tabs>
        <w:ind w:left="0"/>
        <w:rPr>
          <w:sz w:val="24"/>
          <w:szCs w:val="24"/>
          <w:lang w:val="en-AU"/>
        </w:rPr>
      </w:pPr>
      <w:r w:rsidRPr="001F6A19">
        <w:rPr>
          <w:sz w:val="24"/>
          <w:szCs w:val="24"/>
          <w:lang w:val="en-AU"/>
        </w:rPr>
        <w:t>Senator Scott Ryan</w:t>
      </w:r>
      <w:r w:rsidRPr="001F6A19">
        <w:rPr>
          <w:sz w:val="24"/>
          <w:szCs w:val="24"/>
          <w:lang w:val="en-AU"/>
        </w:rPr>
        <w:tab/>
        <w:t>Victoria, LP</w:t>
      </w:r>
    </w:p>
    <w:p w:rsidR="00A67233" w:rsidRDefault="00A67233" w:rsidP="00A67233">
      <w:pPr>
        <w:pStyle w:val="JNP2"/>
        <w:tabs>
          <w:tab w:val="right" w:pos="9026"/>
        </w:tabs>
        <w:ind w:left="0"/>
        <w:rPr>
          <w:sz w:val="24"/>
          <w:szCs w:val="24"/>
          <w:lang w:val="en-AU"/>
        </w:rPr>
      </w:pPr>
      <w:r>
        <w:rPr>
          <w:sz w:val="24"/>
          <w:szCs w:val="24"/>
          <w:lang w:val="en-AU"/>
        </w:rPr>
        <w:t>Senator Arthur Sinodinos AO</w:t>
      </w:r>
      <w:r>
        <w:rPr>
          <w:sz w:val="24"/>
          <w:szCs w:val="24"/>
          <w:lang w:val="en-AU"/>
        </w:rPr>
        <w:tab/>
        <w:t>New South Wales, LP</w:t>
      </w: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Pr="00915990" w:rsidRDefault="00A67233" w:rsidP="00A67233">
      <w:pPr>
        <w:keepNext/>
        <w:outlineLvl w:val="0"/>
        <w:rPr>
          <w:b/>
        </w:rPr>
      </w:pPr>
      <w:bookmarkStart w:id="2" w:name="_Toc340231484"/>
      <w:r w:rsidRPr="00915990">
        <w:rPr>
          <w:b/>
        </w:rPr>
        <w:t>S</w:t>
      </w:r>
      <w:r>
        <w:rPr>
          <w:b/>
        </w:rPr>
        <w:t>ecretariat</w:t>
      </w:r>
      <w:bookmarkEnd w:id="2"/>
    </w:p>
    <w:p w:rsidR="00A67233" w:rsidRPr="007A6AAA" w:rsidRDefault="00A67233" w:rsidP="00A67233">
      <w:pPr>
        <w:keepNext/>
        <w:spacing w:after="0"/>
        <w:outlineLvl w:val="0"/>
        <w:rPr>
          <w:sz w:val="24"/>
          <w:szCs w:val="24"/>
        </w:rPr>
      </w:pPr>
      <w:bookmarkStart w:id="3" w:name="_Toc340231485"/>
      <w:r w:rsidRPr="007A6AAA">
        <w:rPr>
          <w:sz w:val="24"/>
          <w:szCs w:val="24"/>
        </w:rPr>
        <w:t>Mr Ivan Powell, Secretary</w:t>
      </w:r>
      <w:bookmarkEnd w:id="3"/>
    </w:p>
    <w:p w:rsidR="00A67233" w:rsidRPr="007A6AAA" w:rsidRDefault="00A67233" w:rsidP="00A67233">
      <w:pPr>
        <w:keepNext/>
        <w:spacing w:after="0"/>
        <w:rPr>
          <w:sz w:val="24"/>
          <w:szCs w:val="24"/>
        </w:rPr>
      </w:pPr>
      <w:r w:rsidRPr="007A6AAA">
        <w:rPr>
          <w:sz w:val="24"/>
          <w:szCs w:val="24"/>
        </w:rPr>
        <w:t>Ms Janice Paull, Senior Research Officer</w:t>
      </w: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Pr="007A6AAA" w:rsidRDefault="00A67233" w:rsidP="00A67233">
      <w:pPr>
        <w:spacing w:after="0"/>
        <w:rPr>
          <w:sz w:val="24"/>
          <w:szCs w:val="24"/>
        </w:rPr>
      </w:pPr>
    </w:p>
    <w:p w:rsidR="00A67233" w:rsidRPr="00915990" w:rsidRDefault="00A67233" w:rsidP="00A67233">
      <w:pPr>
        <w:keepNext/>
        <w:outlineLvl w:val="0"/>
        <w:rPr>
          <w:b/>
        </w:rPr>
      </w:pPr>
      <w:bookmarkStart w:id="4" w:name="_Toc340231486"/>
      <w:r>
        <w:rPr>
          <w:b/>
        </w:rPr>
        <w:t>Committee legal adviser</w:t>
      </w:r>
      <w:bookmarkEnd w:id="4"/>
    </w:p>
    <w:p w:rsidR="00A67233" w:rsidRPr="001B64F3" w:rsidRDefault="00A67233" w:rsidP="00A67233">
      <w:pPr>
        <w:keepNext/>
        <w:spacing w:after="0"/>
        <w:rPr>
          <w:sz w:val="24"/>
          <w:szCs w:val="24"/>
        </w:rPr>
      </w:pPr>
      <w:r>
        <w:rPr>
          <w:sz w:val="24"/>
          <w:szCs w:val="24"/>
        </w:rPr>
        <w:t>Mr Stephen Argument</w:t>
      </w:r>
    </w:p>
    <w:p w:rsidR="00A67233" w:rsidRDefault="00A67233" w:rsidP="00A67233">
      <w:pPr>
        <w:spacing w:after="0"/>
        <w:rPr>
          <w:sz w:val="24"/>
          <w:szCs w:val="24"/>
        </w:rPr>
      </w:pPr>
    </w:p>
    <w:p w:rsidR="00A67233" w:rsidRDefault="00A67233" w:rsidP="00A67233">
      <w:pPr>
        <w:spacing w:after="0"/>
        <w:rPr>
          <w:sz w:val="24"/>
          <w:szCs w:val="24"/>
        </w:rPr>
      </w:pPr>
    </w:p>
    <w:p w:rsidR="00A67233" w:rsidRDefault="00A67233" w:rsidP="00A67233">
      <w:pPr>
        <w:spacing w:after="0"/>
        <w:rPr>
          <w:sz w:val="24"/>
          <w:szCs w:val="24"/>
        </w:rPr>
      </w:pPr>
    </w:p>
    <w:p w:rsidR="00A67233" w:rsidRPr="001B64F3" w:rsidRDefault="00A67233" w:rsidP="00A67233">
      <w:pPr>
        <w:spacing w:after="0"/>
        <w:rPr>
          <w:sz w:val="24"/>
          <w:szCs w:val="24"/>
        </w:rPr>
      </w:pPr>
    </w:p>
    <w:p w:rsidR="00A67233" w:rsidRPr="001B64F3" w:rsidRDefault="00A67233" w:rsidP="00A67233">
      <w:pPr>
        <w:spacing w:after="0"/>
        <w:rPr>
          <w:sz w:val="24"/>
          <w:szCs w:val="24"/>
        </w:rPr>
      </w:pPr>
    </w:p>
    <w:p w:rsidR="00A67233" w:rsidRPr="001F6A19" w:rsidRDefault="00A67233" w:rsidP="00A67233">
      <w:pPr>
        <w:keepNext/>
        <w:outlineLvl w:val="0"/>
        <w:rPr>
          <w:b/>
        </w:rPr>
      </w:pPr>
      <w:bookmarkStart w:id="5" w:name="_Toc340231487"/>
      <w:r>
        <w:rPr>
          <w:b/>
        </w:rPr>
        <w:t>Committee contacts</w:t>
      </w:r>
      <w:bookmarkEnd w:id="5"/>
    </w:p>
    <w:p w:rsidR="00A67233" w:rsidRPr="001F6A19" w:rsidRDefault="00A67233" w:rsidP="00A67233">
      <w:pPr>
        <w:keepNext/>
        <w:spacing w:after="0"/>
        <w:outlineLvl w:val="0"/>
        <w:rPr>
          <w:sz w:val="24"/>
          <w:szCs w:val="24"/>
        </w:rPr>
      </w:pPr>
      <w:bookmarkStart w:id="6" w:name="_Toc340231488"/>
      <w:r w:rsidRPr="001F6A19">
        <w:rPr>
          <w:sz w:val="24"/>
          <w:szCs w:val="24"/>
        </w:rPr>
        <w:t>PO Box 6100</w:t>
      </w:r>
      <w:bookmarkEnd w:id="6"/>
    </w:p>
    <w:p w:rsidR="00A67233" w:rsidRPr="001F6A19" w:rsidRDefault="00A67233" w:rsidP="00A67233">
      <w:pPr>
        <w:keepNext/>
        <w:spacing w:after="0"/>
        <w:rPr>
          <w:sz w:val="24"/>
          <w:szCs w:val="24"/>
        </w:rPr>
      </w:pPr>
      <w:r w:rsidRPr="001F6A19">
        <w:rPr>
          <w:sz w:val="24"/>
          <w:szCs w:val="24"/>
        </w:rPr>
        <w:t>Parliament House</w:t>
      </w:r>
    </w:p>
    <w:p w:rsidR="00A67233" w:rsidRPr="001F6A19" w:rsidRDefault="00A67233" w:rsidP="00A67233">
      <w:pPr>
        <w:keepNext/>
        <w:spacing w:after="0"/>
        <w:rPr>
          <w:sz w:val="24"/>
          <w:szCs w:val="24"/>
        </w:rPr>
      </w:pPr>
      <w:r w:rsidRPr="001F6A19">
        <w:rPr>
          <w:sz w:val="24"/>
          <w:szCs w:val="24"/>
        </w:rPr>
        <w:t>Canberra ACT 2600</w:t>
      </w:r>
    </w:p>
    <w:p w:rsidR="00A67233" w:rsidRDefault="00A67233" w:rsidP="00A67233">
      <w:pPr>
        <w:keepNext/>
        <w:tabs>
          <w:tab w:val="left" w:pos="600"/>
        </w:tabs>
        <w:spacing w:after="0"/>
        <w:rPr>
          <w:sz w:val="24"/>
          <w:szCs w:val="24"/>
        </w:rPr>
      </w:pPr>
      <w:proofErr w:type="spellStart"/>
      <w:r>
        <w:rPr>
          <w:sz w:val="24"/>
          <w:szCs w:val="24"/>
        </w:rPr>
        <w:t>Ph</w:t>
      </w:r>
      <w:proofErr w:type="spellEnd"/>
      <w:r>
        <w:rPr>
          <w:sz w:val="24"/>
          <w:szCs w:val="24"/>
        </w:rPr>
        <w:t>: 02 6277 3066</w:t>
      </w:r>
    </w:p>
    <w:p w:rsidR="00A67233" w:rsidRPr="001F6A19" w:rsidRDefault="00A67233" w:rsidP="00A67233">
      <w:pPr>
        <w:keepNext/>
        <w:tabs>
          <w:tab w:val="left" w:pos="600"/>
        </w:tabs>
        <w:spacing w:before="240" w:after="0"/>
        <w:rPr>
          <w:sz w:val="24"/>
          <w:szCs w:val="24"/>
        </w:rPr>
      </w:pPr>
      <w:r w:rsidRPr="001F6A19">
        <w:rPr>
          <w:sz w:val="24"/>
          <w:szCs w:val="24"/>
        </w:rPr>
        <w:t xml:space="preserve">Email: </w:t>
      </w:r>
      <w:r>
        <w:rPr>
          <w:sz w:val="24"/>
          <w:szCs w:val="24"/>
        </w:rPr>
        <w:t>r</w:t>
      </w:r>
      <w:r w:rsidRPr="001F6A19">
        <w:rPr>
          <w:sz w:val="24"/>
          <w:szCs w:val="24"/>
        </w:rPr>
        <w:t>eg</w:t>
      </w:r>
      <w:r>
        <w:rPr>
          <w:sz w:val="24"/>
          <w:szCs w:val="24"/>
        </w:rPr>
        <w:t>o</w:t>
      </w:r>
      <w:r w:rsidRPr="001F6A19">
        <w:rPr>
          <w:sz w:val="24"/>
          <w:szCs w:val="24"/>
        </w:rPr>
        <w:t>rds.</w:t>
      </w:r>
      <w:r>
        <w:rPr>
          <w:sz w:val="24"/>
          <w:szCs w:val="24"/>
        </w:rPr>
        <w:t>s</w:t>
      </w:r>
      <w:r w:rsidRPr="001F6A19">
        <w:rPr>
          <w:sz w:val="24"/>
          <w:szCs w:val="24"/>
        </w:rPr>
        <w:t>en@aph.gov.au</w:t>
      </w:r>
    </w:p>
    <w:p w:rsidR="00A67233" w:rsidRDefault="00A67233" w:rsidP="00A67233">
      <w:pPr>
        <w:keepNext/>
        <w:spacing w:before="240" w:after="0"/>
        <w:outlineLvl w:val="0"/>
        <w:rPr>
          <w:sz w:val="24"/>
          <w:szCs w:val="24"/>
        </w:rPr>
      </w:pPr>
      <w:bookmarkStart w:id="7" w:name="_Toc340231489"/>
      <w:r>
        <w:rPr>
          <w:sz w:val="24"/>
          <w:szCs w:val="24"/>
        </w:rPr>
        <w:t xml:space="preserve">Website: </w:t>
      </w:r>
      <w:r w:rsidRPr="007A6AAA">
        <w:rPr>
          <w:sz w:val="20"/>
        </w:rPr>
        <w:t>http://www.aph.gov.au/Parliamentary_Business/Committees/Senate_Committees?url=regord_ctte/index.htm</w:t>
      </w:r>
      <w:bookmarkEnd w:id="7"/>
      <w:r>
        <w:rPr>
          <w:sz w:val="24"/>
          <w:szCs w:val="24"/>
        </w:rPr>
        <w:t xml:space="preserve"> </w:t>
      </w:r>
    </w:p>
    <w:p w:rsidR="00A67233" w:rsidRDefault="00A67233" w:rsidP="00A67233">
      <w:pPr>
        <w:keepNext/>
        <w:spacing w:after="0"/>
      </w:pPr>
      <w:r>
        <w:br w:type="page"/>
      </w:r>
    </w:p>
    <w:p w:rsidR="00CA3499" w:rsidRDefault="00CA3499">
      <w:pPr>
        <w:spacing w:after="0"/>
        <w:jc w:val="left"/>
      </w:pPr>
      <w:r>
        <w:lastRenderedPageBreak/>
        <w:br w:type="page"/>
      </w:r>
    </w:p>
    <w:p w:rsidR="00CA3499" w:rsidRPr="005147D7" w:rsidRDefault="00CA3499" w:rsidP="00CA3499">
      <w:pPr>
        <w:pStyle w:val="Heading1"/>
        <w:spacing w:before="0"/>
      </w:pPr>
      <w:r>
        <w:lastRenderedPageBreak/>
        <w:t>C</w:t>
      </w:r>
      <w:r w:rsidRPr="005147D7">
        <w:t>ontents</w:t>
      </w:r>
    </w:p>
    <w:tbl>
      <w:tblPr>
        <w:tblW w:w="9180" w:type="dxa"/>
        <w:tblLook w:val="04A0" w:firstRow="1" w:lastRow="0" w:firstColumn="1" w:lastColumn="0" w:noHBand="0" w:noVBand="1"/>
      </w:tblPr>
      <w:tblGrid>
        <w:gridCol w:w="250"/>
        <w:gridCol w:w="8080"/>
        <w:gridCol w:w="850"/>
      </w:tblGrid>
      <w:tr w:rsidR="00CA3499" w:rsidRPr="007532FF" w:rsidTr="00CF1039">
        <w:tc>
          <w:tcPr>
            <w:tcW w:w="8330" w:type="dxa"/>
            <w:gridSpan w:val="2"/>
          </w:tcPr>
          <w:p w:rsidR="00CA3499" w:rsidRPr="006E3F10" w:rsidRDefault="00CA3499" w:rsidP="00CF1039">
            <w:pPr>
              <w:tabs>
                <w:tab w:val="right" w:pos="8789"/>
              </w:tabs>
              <w:spacing w:before="120" w:after="120"/>
              <w:rPr>
                <w:rStyle w:val="Strong"/>
              </w:rPr>
            </w:pPr>
            <w:r w:rsidRPr="006E3F10">
              <w:rPr>
                <w:rStyle w:val="Strong"/>
              </w:rPr>
              <w:t>Membership of committee</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Pr>
                <w:sz w:val="22"/>
                <w:szCs w:val="22"/>
              </w:rPr>
              <w:tab/>
              <w:t>iii</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Introduction</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r>
              <w:rPr>
                <w:sz w:val="22"/>
                <w:szCs w:val="22"/>
              </w:rPr>
              <w:t>vii</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Chapter 1 – New and continuing matters</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ab/>
              <w:t>A New Tax System (Goods and Services Tax)</w:t>
            </w:r>
            <w:r>
              <w:rPr>
                <w:sz w:val="22"/>
                <w:szCs w:val="22"/>
              </w:rPr>
              <w:t xml:space="preserve"> Amendment Regulation 2013 (No. </w:t>
            </w:r>
            <w:r w:rsidRPr="00B75415">
              <w:rPr>
                <w:sz w:val="22"/>
                <w:szCs w:val="22"/>
              </w:rPr>
              <w:t>1) [Select Legislative Instrument 2013 No. 6] [F2013L00200]</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139</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ab/>
              <w:t>Banking Amendment Regulation 2013 (No. 1) [Select Legislative Instrument No.</w:t>
            </w:r>
            <w:r>
              <w:rPr>
                <w:sz w:val="22"/>
                <w:szCs w:val="22"/>
              </w:rPr>
              <w:t> </w:t>
            </w:r>
            <w:r w:rsidRPr="00B75415">
              <w:rPr>
                <w:sz w:val="22"/>
                <w:szCs w:val="22"/>
              </w:rPr>
              <w:t>8, 2013] [F2013L00206]</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140</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6F5C2E" w:rsidRDefault="00CA3499" w:rsidP="00CF1039">
            <w:pPr>
              <w:tabs>
                <w:tab w:val="right" w:pos="1167"/>
                <w:tab w:val="right" w:pos="8789"/>
              </w:tabs>
              <w:spacing w:before="60" w:after="60"/>
              <w:ind w:right="459"/>
              <w:rPr>
                <w:sz w:val="22"/>
                <w:szCs w:val="22"/>
              </w:rPr>
            </w:pPr>
            <w:r w:rsidRPr="00B75415">
              <w:rPr>
                <w:sz w:val="22"/>
                <w:szCs w:val="22"/>
              </w:rPr>
              <w:t>CASA EX12/13 - Exemption - operations by sport and recreational aircraft in restricted area R979A [F2013L00193]</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140</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Civil Aviation Legislation Amendment Regulation 2013 (No. 1) [Select Legislative Instrument 2013 No. 5] [F2013L00218]</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141</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Competition and Consumer Act 2010 - Consumer Protection Notice No. 1 of 2013 - Safety Standard: Baby Walkers [F2013L00190]</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143</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Customs Amendment Regulation 2013 (No. 1) [Select Legislative Instrument 2013 No. 1] [F2013L00204]</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143</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Customs (Drug and Alcohol Testing) Regulation 2013</w:t>
            </w:r>
            <w:r>
              <w:rPr>
                <w:sz w:val="22"/>
                <w:szCs w:val="22"/>
              </w:rPr>
              <w:t xml:space="preserve"> </w:t>
            </w:r>
            <w:r w:rsidRPr="00B75415">
              <w:rPr>
                <w:sz w:val="22"/>
                <w:szCs w:val="22"/>
              </w:rPr>
              <w:t>[Select Legislative Instrument No. 2, 2013] [F2013L00191]</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144</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Excise Amendment Regulation 2013 (No. 1) [Select Legislative Instrument 2013 No. 10] [F2013L00199]</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145</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Higher Education Support Act 2003 - Amendment No. 1 to the Administration Guidelines 2012 [F2013L00180]</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145</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Social Security (Deeming Threshold Rates) (</w:t>
            </w:r>
            <w:proofErr w:type="spellStart"/>
            <w:r w:rsidRPr="00B75415">
              <w:rPr>
                <w:sz w:val="22"/>
                <w:szCs w:val="22"/>
              </w:rPr>
              <w:t>FaHCSIA</w:t>
            </w:r>
            <w:proofErr w:type="spellEnd"/>
            <w:r w:rsidRPr="00B75415">
              <w:rPr>
                <w:sz w:val="22"/>
                <w:szCs w:val="22"/>
              </w:rPr>
              <w:t>) Determination 2013 [F2013L00216]</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146</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Export Market Development Grants (Extended Lodgement and Consultant Quality Incentive) Determination 2012 [F2013L00258]</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147</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Financial Sector (Collection of Data) (reporting standard) determination No. 38 of 2013 - GRS 300.0_G Statement of Financial Position (Level 2 Insurance Group) [F2013L00359]</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147</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Schools Assistance (Guidelines for Determining Socio-Economic Status (SES) Scores) Amendment 2013 (No. 1) [F2013L00349]</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148</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Stronger Futures in the Northern Territory (Alcohol Management Plans) Rule 2013 [F2013L00290]</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149</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ED693D" w:rsidRDefault="00CA3499" w:rsidP="00CF1039">
            <w:pPr>
              <w:tabs>
                <w:tab w:val="right" w:pos="1167"/>
                <w:tab w:val="right" w:pos="8789"/>
              </w:tabs>
              <w:spacing w:before="60" w:after="60"/>
              <w:ind w:right="459"/>
              <w:rPr>
                <w:sz w:val="22"/>
                <w:szCs w:val="22"/>
              </w:rPr>
            </w:pPr>
            <w:r w:rsidRPr="00B75415">
              <w:rPr>
                <w:sz w:val="22"/>
                <w:szCs w:val="22"/>
              </w:rPr>
              <w:t>Income Tax Assessment Amendment Regulation 2013 (No. 1) [Select Legislative Instrument 2013 No. 24] [F2013L00394]</w:t>
            </w:r>
          </w:p>
        </w:tc>
        <w:tc>
          <w:tcPr>
            <w:tcW w:w="850" w:type="dxa"/>
          </w:tcPr>
          <w:p w:rsidR="00CA3499" w:rsidRPr="007532FF" w:rsidRDefault="00CA3499" w:rsidP="00CF1039">
            <w:pPr>
              <w:tabs>
                <w:tab w:val="right" w:pos="644"/>
                <w:tab w:val="right" w:pos="8789"/>
              </w:tabs>
              <w:spacing w:before="60" w:after="60"/>
              <w:ind w:left="317" w:right="-1076" w:hanging="317"/>
              <w:rPr>
                <w:sz w:val="22"/>
                <w:szCs w:val="22"/>
              </w:rPr>
            </w:pPr>
            <w:r w:rsidRPr="007532FF">
              <w:rPr>
                <w:sz w:val="22"/>
                <w:szCs w:val="22"/>
              </w:rPr>
              <w:tab/>
            </w:r>
            <w:r>
              <w:rPr>
                <w:sz w:val="22"/>
                <w:szCs w:val="22"/>
              </w:rPr>
              <w:t>149</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Chapter 2 – Concluded matters</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Water Act 2007 – Basin Plan 2012 [F2012L02240]</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151</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Defence and Strategic Goods List Amendment 2012 (No. 1) [F2012L02318]</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152</w:t>
            </w:r>
          </w:p>
        </w:tc>
      </w:tr>
    </w:tbl>
    <w:p w:rsidR="00CA3499" w:rsidRDefault="00CA3499">
      <w:r>
        <w:br w:type="page"/>
      </w:r>
    </w:p>
    <w:tbl>
      <w:tblPr>
        <w:tblW w:w="9180" w:type="dxa"/>
        <w:tblLook w:val="04A0" w:firstRow="1" w:lastRow="0" w:firstColumn="1" w:lastColumn="0" w:noHBand="0" w:noVBand="1"/>
      </w:tblPr>
      <w:tblGrid>
        <w:gridCol w:w="250"/>
        <w:gridCol w:w="8080"/>
        <w:gridCol w:w="850"/>
      </w:tblGrid>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Ozone Protection and Synthetic Greenhouse Gas Management Amendment Regulation 2012 (No. 3) [Select Legislative Instrument 2012 No. 260] [F2012L02267]</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153</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Health Insurance (General Medical Services Table) Amendment Regulation 2012 (No. 5) [Select Legislative Instrument 2012 No. 296] [F2012L02406]</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154</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Clean Energy Amendment Regulation 2012 (No. 7) [Select Legislative Instrument 2012 No. 289] [F2012L02384]</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155</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Aviation Transport Security Amendment Regulation 2012 (No. 6) [Select Legislative Instrument 2012 No. 304] [F2012L02424]</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156</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ASQA Authorised Officer Requirements [F2012L02326]</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157</w:t>
            </w:r>
          </w:p>
        </w:tc>
      </w:tr>
      <w:tr w:rsidR="00CA3499" w:rsidRPr="007532FF" w:rsidTr="00CF1039">
        <w:tc>
          <w:tcPr>
            <w:tcW w:w="250" w:type="dxa"/>
          </w:tcPr>
          <w:p w:rsidR="00CA3499" w:rsidRPr="007532FF" w:rsidRDefault="00CA3499" w:rsidP="00CF1039">
            <w:pPr>
              <w:tabs>
                <w:tab w:val="left" w:pos="7655"/>
                <w:tab w:val="right" w:pos="8789"/>
              </w:tabs>
              <w:spacing w:before="60" w:after="60"/>
              <w:rPr>
                <w:rStyle w:val="Strong"/>
                <w:b w:val="0"/>
                <w:sz w:val="22"/>
                <w:szCs w:val="22"/>
              </w:rPr>
            </w:pPr>
          </w:p>
        </w:tc>
        <w:tc>
          <w:tcPr>
            <w:tcW w:w="8080" w:type="dxa"/>
          </w:tcPr>
          <w:p w:rsidR="00CA3499" w:rsidRPr="00F1220F" w:rsidRDefault="00CA3499" w:rsidP="00CF1039">
            <w:pPr>
              <w:tabs>
                <w:tab w:val="right" w:pos="1167"/>
                <w:tab w:val="right" w:pos="8789"/>
              </w:tabs>
              <w:spacing w:before="60" w:after="60"/>
              <w:ind w:right="459"/>
              <w:rPr>
                <w:sz w:val="22"/>
                <w:szCs w:val="22"/>
              </w:rPr>
            </w:pPr>
            <w:r w:rsidRPr="00B75415">
              <w:rPr>
                <w:sz w:val="22"/>
                <w:szCs w:val="22"/>
              </w:rPr>
              <w:t>Family Law Amendment Rules 2012 (No. 2) [Select Legislative Instrument 2012 No. 331] [F2012L02577]</w:t>
            </w:r>
          </w:p>
        </w:tc>
        <w:tc>
          <w:tcPr>
            <w:tcW w:w="850" w:type="dxa"/>
          </w:tcPr>
          <w:p w:rsidR="00CA3499" w:rsidRPr="007532FF" w:rsidRDefault="00CA3499" w:rsidP="00CF1039">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158</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Appendix 1 – Index of instruments scrutinised by the committee</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r>
              <w:rPr>
                <w:sz w:val="22"/>
                <w:szCs w:val="22"/>
              </w:rPr>
              <w:t>159</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Appendix 2 – Guideline on explanatory statements: consultation</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r>
              <w:rPr>
                <w:sz w:val="22"/>
                <w:szCs w:val="22"/>
              </w:rPr>
              <w:t>167</w:t>
            </w:r>
          </w:p>
        </w:tc>
      </w:tr>
      <w:tr w:rsidR="00CA3499" w:rsidRPr="007532FF" w:rsidTr="00CF1039">
        <w:tc>
          <w:tcPr>
            <w:tcW w:w="8330" w:type="dxa"/>
            <w:gridSpan w:val="2"/>
          </w:tcPr>
          <w:p w:rsidR="00CA3499" w:rsidRPr="006E3F10" w:rsidRDefault="00CA3499" w:rsidP="00CF1039">
            <w:pPr>
              <w:tabs>
                <w:tab w:val="left" w:pos="7655"/>
                <w:tab w:val="right" w:pos="8789"/>
              </w:tabs>
              <w:spacing w:before="120" w:after="120"/>
              <w:rPr>
                <w:rStyle w:val="Strong"/>
              </w:rPr>
            </w:pPr>
            <w:r w:rsidRPr="006E3F10">
              <w:rPr>
                <w:rStyle w:val="Strong"/>
              </w:rPr>
              <w:t xml:space="preserve">Appendix 3 – Correspondence </w:t>
            </w:r>
            <w:r>
              <w:rPr>
                <w:rStyle w:val="Strong"/>
              </w:rPr>
              <w:t>relating to committee's scrutiny</w:t>
            </w:r>
          </w:p>
        </w:tc>
        <w:tc>
          <w:tcPr>
            <w:tcW w:w="850" w:type="dxa"/>
          </w:tcPr>
          <w:p w:rsidR="00CA3499" w:rsidRPr="007532FF" w:rsidRDefault="00CA3499" w:rsidP="00CF1039">
            <w:pPr>
              <w:tabs>
                <w:tab w:val="right" w:pos="601"/>
                <w:tab w:val="right" w:pos="8789"/>
              </w:tabs>
              <w:spacing w:before="120" w:after="120"/>
              <w:ind w:left="317" w:right="-1077" w:hanging="317"/>
              <w:rPr>
                <w:sz w:val="22"/>
                <w:szCs w:val="22"/>
              </w:rPr>
            </w:pPr>
            <w:r w:rsidRPr="007532FF">
              <w:rPr>
                <w:sz w:val="22"/>
                <w:szCs w:val="22"/>
              </w:rPr>
              <w:tab/>
            </w:r>
            <w:r>
              <w:rPr>
                <w:sz w:val="22"/>
                <w:szCs w:val="22"/>
              </w:rPr>
              <w:t>173</w:t>
            </w:r>
          </w:p>
        </w:tc>
      </w:tr>
    </w:tbl>
    <w:p w:rsidR="00CA3499" w:rsidRPr="007532FF" w:rsidRDefault="00CA3499" w:rsidP="00CA3499">
      <w:pPr>
        <w:rPr>
          <w:sz w:val="22"/>
          <w:szCs w:val="22"/>
        </w:rPr>
      </w:pPr>
    </w:p>
    <w:p w:rsidR="00CA3499" w:rsidRDefault="00CA3499">
      <w:pPr>
        <w:spacing w:after="0"/>
        <w:jc w:val="left"/>
      </w:pPr>
      <w:r>
        <w:br w:type="page"/>
      </w:r>
    </w:p>
    <w:p w:rsidR="00CA3499" w:rsidRPr="004B17F0" w:rsidRDefault="00CA3499" w:rsidP="00CA3499">
      <w:pPr>
        <w:pStyle w:val="Heading1"/>
      </w:pPr>
      <w:r w:rsidRPr="004B17F0">
        <w:lastRenderedPageBreak/>
        <w:t>Delegated legislation monitor</w:t>
      </w:r>
    </w:p>
    <w:p w:rsidR="00CA3499" w:rsidRDefault="00CA3499" w:rsidP="00CA3499">
      <w:pPr>
        <w:pStyle w:val="Heading2"/>
      </w:pPr>
      <w:r w:rsidRPr="00BF47FD">
        <w:t>Introduction</w:t>
      </w:r>
    </w:p>
    <w:p w:rsidR="00CA3499" w:rsidRDefault="00CA3499" w:rsidP="00CA3499">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CA3499" w:rsidRDefault="00CA3499" w:rsidP="00CA3499">
      <w:pPr>
        <w:pStyle w:val="Heading3"/>
      </w:pPr>
      <w:r>
        <w:t>The committee's terms of reference</w:t>
      </w:r>
    </w:p>
    <w:p w:rsidR="00CA3499" w:rsidRPr="00D233E5" w:rsidRDefault="00CA3499" w:rsidP="00CA3499">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CA3499" w:rsidRPr="00BF47FD" w:rsidRDefault="00CA3499" w:rsidP="00CA3499">
      <w:pPr>
        <w:pStyle w:val="Quote"/>
        <w:spacing w:after="120"/>
        <w:ind w:left="1276" w:hanging="425"/>
      </w:pPr>
      <w:r>
        <w:t xml:space="preserve">(1) </w:t>
      </w:r>
      <w:r w:rsidRPr="00BF47FD">
        <w:t>A Standing Committee on Regulations and Ordinances shall be appointed at the commencement of each Parliament.</w:t>
      </w:r>
    </w:p>
    <w:p w:rsidR="00CA3499" w:rsidRPr="00BF47FD" w:rsidRDefault="00CA3499" w:rsidP="00CA3499">
      <w:pPr>
        <w:pStyle w:val="Quote"/>
        <w:spacing w:after="120"/>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CA3499" w:rsidRPr="00BF47FD" w:rsidRDefault="00CA3499" w:rsidP="00CA3499">
      <w:pPr>
        <w:pStyle w:val="Quote"/>
        <w:spacing w:after="120"/>
        <w:ind w:left="1276"/>
      </w:pPr>
      <w:r w:rsidRPr="00BF47FD">
        <w:t>The committee shall scrutinise each instrument to ensure:</w:t>
      </w:r>
    </w:p>
    <w:p w:rsidR="00CA3499" w:rsidRPr="00BF47FD" w:rsidRDefault="00CA3499" w:rsidP="00CA3499">
      <w:pPr>
        <w:pStyle w:val="Quote"/>
        <w:tabs>
          <w:tab w:val="left" w:pos="1701"/>
        </w:tabs>
        <w:spacing w:after="120"/>
        <w:ind w:left="1701" w:hanging="425"/>
      </w:pPr>
      <w:r>
        <w:t>(a)</w:t>
      </w:r>
      <w:r>
        <w:tab/>
      </w:r>
      <w:proofErr w:type="gramStart"/>
      <w:r w:rsidRPr="00BF47FD">
        <w:t>that</w:t>
      </w:r>
      <w:proofErr w:type="gramEnd"/>
      <w:r w:rsidRPr="00BF47FD">
        <w:t xml:space="preserve"> it is in accordance with the statute;</w:t>
      </w:r>
    </w:p>
    <w:p w:rsidR="00CA3499" w:rsidRPr="00BF47FD" w:rsidRDefault="00CA3499" w:rsidP="00CA3499">
      <w:pPr>
        <w:pStyle w:val="Quote"/>
        <w:tabs>
          <w:tab w:val="left" w:pos="1701"/>
        </w:tabs>
        <w:spacing w:after="120"/>
        <w:ind w:left="1701" w:hanging="425"/>
      </w:pPr>
      <w:r>
        <w:t>(b)</w:t>
      </w:r>
      <w:r>
        <w:tab/>
      </w:r>
      <w:proofErr w:type="gramStart"/>
      <w:r w:rsidRPr="00BF47FD">
        <w:t>that</w:t>
      </w:r>
      <w:proofErr w:type="gramEnd"/>
      <w:r w:rsidRPr="00BF47FD">
        <w:t xml:space="preserve"> it does not trespass unduly on personal rights and liberties;</w:t>
      </w:r>
    </w:p>
    <w:p w:rsidR="00CA3499" w:rsidRPr="00BF47FD" w:rsidRDefault="00CA3499" w:rsidP="00CA3499">
      <w:pPr>
        <w:pStyle w:val="Quote"/>
        <w:tabs>
          <w:tab w:val="left" w:pos="1701"/>
        </w:tabs>
        <w:spacing w:after="120"/>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CA3499" w:rsidRDefault="00CA3499" w:rsidP="00CA3499">
      <w:pPr>
        <w:pStyle w:val="Quote"/>
        <w:tabs>
          <w:tab w:val="left" w:pos="1701"/>
        </w:tabs>
        <w:spacing w:after="120"/>
        <w:ind w:left="1701" w:hanging="425"/>
      </w:pPr>
      <w:r>
        <w:t>(d)</w:t>
      </w:r>
      <w:r>
        <w:tab/>
      </w:r>
      <w:proofErr w:type="gramStart"/>
      <w:r w:rsidRPr="00BF47FD">
        <w:t>that</w:t>
      </w:r>
      <w:proofErr w:type="gramEnd"/>
      <w:r w:rsidRPr="00BF47FD">
        <w:t xml:space="preserve"> it does not contain matter more appropriate for parliamentary enactment.</w:t>
      </w:r>
    </w:p>
    <w:p w:rsidR="00CA3499" w:rsidRDefault="00CA3499" w:rsidP="00CA3499">
      <w:pPr>
        <w:pStyle w:val="Heading3"/>
      </w:pPr>
      <w:r w:rsidRPr="00F063AA">
        <w:t>Work of the committee</w:t>
      </w:r>
    </w:p>
    <w:p w:rsidR="00CA3499" w:rsidRPr="00F063AA" w:rsidRDefault="00CA3499" w:rsidP="00CA3499">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CA3499" w:rsidRDefault="00CA3499" w:rsidP="00CA3499">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lastRenderedPageBreak/>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CA3499" w:rsidRDefault="00CA3499" w:rsidP="00CA3499">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CA3499" w:rsidRDefault="00CA3499" w:rsidP="00CA3499">
      <w:pPr>
        <w:pStyle w:val="Heading3"/>
      </w:pPr>
      <w:r>
        <w:t>Structure of the report</w:t>
      </w:r>
    </w:p>
    <w:p w:rsidR="00CA3499" w:rsidRDefault="00CA3499" w:rsidP="00CA3499">
      <w:pPr>
        <w:pStyle w:val="Level1"/>
        <w:numPr>
          <w:ilvl w:val="0"/>
          <w:numId w:val="0"/>
        </w:numPr>
      </w:pPr>
      <w:r>
        <w:t>The report is comprised of the following parts:</w:t>
      </w:r>
    </w:p>
    <w:p w:rsidR="00CA3499" w:rsidRDefault="00CA3499" w:rsidP="00CA3499">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CA3499" w:rsidRDefault="00CA3499" w:rsidP="00CA3499">
      <w:pPr>
        <w:pStyle w:val="Bullet1"/>
        <w:spacing w:after="120"/>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CA3499" w:rsidRDefault="00CA3499" w:rsidP="00CA3499">
      <w:pPr>
        <w:pStyle w:val="Bullet1"/>
        <w:spacing w:after="120"/>
      </w:pPr>
      <w:r>
        <w:t>Appendix 1 provides an index listing all instruments scrutinised in the period covered by the report;</w:t>
      </w:r>
    </w:p>
    <w:p w:rsidR="00CA3499" w:rsidRDefault="00CA3499" w:rsidP="00CA3499">
      <w:pPr>
        <w:pStyle w:val="Bullet1"/>
        <w:spacing w:after="120"/>
      </w:pPr>
      <w:r>
        <w:t xml:space="preserve">Appendix 2 contains the committee's guideline on addressing the consultation requirements of the </w:t>
      </w:r>
      <w:r>
        <w:rPr>
          <w:i/>
        </w:rPr>
        <w:t>Legislative Instruments Act 2003</w:t>
      </w:r>
      <w:r>
        <w:t>.</w:t>
      </w:r>
    </w:p>
    <w:p w:rsidR="00CA3499" w:rsidRDefault="00CA3499" w:rsidP="00CA3499">
      <w:pPr>
        <w:pStyle w:val="Heading3"/>
      </w:pPr>
      <w:r>
        <w:t>Acknowledgement</w:t>
      </w:r>
    </w:p>
    <w:p w:rsidR="00CA3499" w:rsidRDefault="00CA3499" w:rsidP="00CA3499">
      <w:pPr>
        <w:pStyle w:val="Level1"/>
        <w:numPr>
          <w:ilvl w:val="0"/>
          <w:numId w:val="0"/>
        </w:numPr>
        <w:spacing w:after="120"/>
      </w:pPr>
      <w:r>
        <w:t>The committee wishes to acknowledge the cooperation of the ministers, instrument-makers and departments who assisted the committee with its consideration of the issues raised in this report.</w:t>
      </w: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Default="00CA3499" w:rsidP="00CA3499">
      <w:pPr>
        <w:pStyle w:val="Bullet1"/>
        <w:numPr>
          <w:ilvl w:val="0"/>
          <w:numId w:val="0"/>
        </w:numPr>
        <w:spacing w:after="0"/>
        <w:ind w:left="851" w:hanging="851"/>
        <w:rPr>
          <w:b/>
        </w:rPr>
      </w:pPr>
    </w:p>
    <w:p w:rsidR="00CA3499" w:rsidRPr="00364316" w:rsidRDefault="00CA3499" w:rsidP="00CA3499">
      <w:pPr>
        <w:pStyle w:val="Bullet1"/>
        <w:numPr>
          <w:ilvl w:val="0"/>
          <w:numId w:val="0"/>
        </w:numPr>
        <w:spacing w:after="120"/>
        <w:ind w:left="851" w:hanging="851"/>
        <w:rPr>
          <w:b/>
        </w:rPr>
      </w:pPr>
      <w:r w:rsidRPr="00364316">
        <w:rPr>
          <w:b/>
        </w:rPr>
        <w:t>Senator Mark Furner</w:t>
      </w:r>
    </w:p>
    <w:p w:rsidR="007576B7" w:rsidRDefault="00CA3499" w:rsidP="007576B7">
      <w:pPr>
        <w:pStyle w:val="Bullet1"/>
        <w:numPr>
          <w:ilvl w:val="0"/>
          <w:numId w:val="0"/>
        </w:numPr>
        <w:ind w:left="851" w:hanging="851"/>
        <w:rPr>
          <w:b/>
        </w:rPr>
        <w:sectPr w:rsidR="007576B7" w:rsidSect="007576B7">
          <w:headerReference w:type="default" r:id="rId8"/>
          <w:footerReference w:type="even" r:id="rId9"/>
          <w:footerReference w:type="default" r:id="rId10"/>
          <w:headerReference w:type="first" r:id="rId11"/>
          <w:type w:val="oddPage"/>
          <w:pgSz w:w="11906" w:h="16838" w:code="9"/>
          <w:pgMar w:top="1440" w:right="1440" w:bottom="1202" w:left="1440" w:header="1134" w:footer="720" w:gutter="0"/>
          <w:pgNumType w:fmt="lowerRoman" w:start="1"/>
          <w:cols w:space="720"/>
          <w:titlePg/>
          <w:docGrid w:linePitch="354"/>
        </w:sectPr>
      </w:pPr>
      <w:r w:rsidRPr="00364316">
        <w:rPr>
          <w:b/>
        </w:rPr>
        <w:t>Chair</w:t>
      </w:r>
    </w:p>
    <w:p w:rsidR="00CA3499" w:rsidRPr="009E61C5" w:rsidRDefault="00CA3499" w:rsidP="007576B7">
      <w:pPr>
        <w:pStyle w:val="Heading1"/>
      </w:pPr>
      <w:r w:rsidRPr="009E61C5">
        <w:lastRenderedPageBreak/>
        <w:t>Chapter 1</w:t>
      </w:r>
    </w:p>
    <w:p w:rsidR="00CA3499" w:rsidRPr="009E61C5" w:rsidRDefault="00CA3499" w:rsidP="00CA3499">
      <w:pPr>
        <w:pStyle w:val="Heading2"/>
      </w:pPr>
      <w:r w:rsidRPr="009E61C5">
        <w:t>New and continuing matters</w:t>
      </w:r>
    </w:p>
    <w:p w:rsidR="00CA3499" w:rsidRPr="009E61C5" w:rsidRDefault="00CA3499" w:rsidP="00CA3499">
      <w:pPr>
        <w:pStyle w:val="Level1"/>
        <w:numPr>
          <w:ilvl w:val="0"/>
          <w:numId w:val="0"/>
        </w:numPr>
      </w:pPr>
      <w:r w:rsidRPr="009E61C5">
        <w:t xml:space="preserve">This chapter lists new matters identified by the committee at its meeting on </w:t>
      </w:r>
      <w:r w:rsidRPr="009E61C5">
        <w:rPr>
          <w:b/>
        </w:rPr>
        <w:t>14 March 2013</w:t>
      </w:r>
      <w:r w:rsidRPr="009E61C5">
        <w:t>, and continuing matters in relation to which the committee has received recent correspondence. The committee will write to relevant ministers or instrument makers seeking further information or an appropriate undertaking within the disallowance period.</w:t>
      </w:r>
    </w:p>
    <w:p w:rsidR="00CA3499" w:rsidRPr="009E61C5" w:rsidRDefault="00CA3499" w:rsidP="00710736">
      <w:pPr>
        <w:pStyle w:val="Heading3"/>
        <w:spacing w:before="600" w:after="120"/>
      </w:pPr>
      <w:r w:rsidRPr="009E61C5">
        <w:t>A New Tax System (Goods and Services Tax) Amendment Regulation 2013 (No. 1) [Select Legislative Instrument 2013 No. 6] [F2013L00200]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A New Tax System (Goods and Services Tax) Regulations 1999 to make minor changes to the Tourist Refund Scheme and the Sealed Bag Scheme</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r w:rsidRPr="009E61C5">
              <w:rPr>
                <w:rStyle w:val="FootnoteReference"/>
                <w:rFonts w:ascii="Times New Roman" w:hAnsi="Times New Roman"/>
                <w:b/>
                <w:sz w:val="24"/>
                <w:szCs w:val="24"/>
              </w:rPr>
              <w:footnoteReference w:id="3"/>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A New Tax System (Goods and Services Tax) Act 1999</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710736">
      <w:pPr>
        <w:pStyle w:val="Heading3"/>
      </w:pPr>
      <w:r w:rsidRPr="009E61C5">
        <w:t>ISSUE:</w:t>
      </w:r>
    </w:p>
    <w:p w:rsidR="00CA3499" w:rsidRPr="009E61C5" w:rsidRDefault="00CA3499" w:rsidP="00710736">
      <w:pPr>
        <w:pStyle w:val="Heading4"/>
        <w:spacing w:after="120"/>
      </w:pPr>
      <w:r w:rsidRPr="009E61C5">
        <w:t>Insufficient explanation provided regarding consultation</w:t>
      </w:r>
    </w:p>
    <w:p w:rsidR="00CA3499" w:rsidRPr="009E61C5" w:rsidRDefault="00CA3499" w:rsidP="00CA3499">
      <w:pPr>
        <w:pStyle w:val="Level1"/>
        <w:numPr>
          <w:ilvl w:val="0"/>
          <w:numId w:val="0"/>
        </w:num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w:t>
      </w:r>
      <w:r w:rsidRPr="009E61C5">
        <w:rPr>
          <w:rStyle w:val="FootnoteReference"/>
          <w:szCs w:val="26"/>
        </w:rPr>
        <w:footnoteReference w:id="4"/>
      </w:r>
      <w:r w:rsidRPr="009E61C5">
        <w:rPr>
          <w:szCs w:val="26"/>
        </w:rPr>
        <w:t xml:space="preserve"> With reference to these requirements, the committee notes that </w:t>
      </w:r>
      <w:r w:rsidRPr="009E61C5">
        <w:t xml:space="preserve">the ES for this instrument states only that 'Consultation was undertaken on the proposed amendments and no changes were made as a result of consultation'. </w:t>
      </w:r>
      <w:r w:rsidRPr="009E61C5">
        <w:rPr>
          <w:szCs w:val="26"/>
        </w:rPr>
        <w:t xml:space="preserve">The committee generally considers that very bare or overly general descriptions of consultation, such as this, do not in describe the nature of the consultation undertaken, as required by section 26 of the </w:t>
      </w:r>
      <w:r w:rsidRPr="009E61C5">
        <w:rPr>
          <w:i/>
          <w:szCs w:val="26"/>
        </w:rPr>
        <w:t>Legislative Instruments Act 2003</w:t>
      </w:r>
      <w:r w:rsidRPr="009E61C5">
        <w:rPr>
          <w:szCs w:val="26"/>
        </w:rPr>
        <w:t xml:space="preserve">. </w:t>
      </w:r>
      <w:r w:rsidRPr="009E61C5">
        <w:rPr>
          <w:b/>
        </w:rPr>
        <w:t xml:space="preserve">The committee will therefore seek further information from the minister and request that the ES be updated in accordance with the requirements of the </w:t>
      </w:r>
      <w:r w:rsidRPr="009E61C5">
        <w:rPr>
          <w:b/>
          <w:i/>
        </w:rPr>
        <w:t>Legislative Instruments Act 2003</w:t>
      </w:r>
      <w:r w:rsidRPr="009E61C5">
        <w:t>.</w:t>
      </w:r>
    </w:p>
    <w:p w:rsidR="00CA3499" w:rsidRPr="009E61C5" w:rsidRDefault="00CA3499" w:rsidP="00CA3499">
      <w:pPr>
        <w:pStyle w:val="Heading3"/>
        <w:spacing w:before="600" w:after="120"/>
      </w:pPr>
      <w:r w:rsidRPr="009E61C5">
        <w:lastRenderedPageBreak/>
        <w:t>Banking Amendment Regulation 2013 (No. 1) [Select Legislative Instrument 2013 No. 8] [F2013L00206]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 xml:space="preserve">Amends the Banking Regulations 1966 to set out the conditions under which security, set-off and escrow accounts become unclaimed under s 69 of the </w:t>
            </w:r>
            <w:r w:rsidRPr="009E61C5">
              <w:rPr>
                <w:rFonts w:ascii="Times New Roman" w:hAnsi="Times New Roman"/>
                <w:i/>
                <w:sz w:val="24"/>
                <w:szCs w:val="24"/>
              </w:rPr>
              <w:t>Banking Act 1959</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Banking Act 1959</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710736">
      <w:pPr>
        <w:pStyle w:val="Heading3"/>
      </w:pPr>
      <w:r w:rsidRPr="009E61C5">
        <w:t>ISSUE:</w:t>
      </w:r>
    </w:p>
    <w:p w:rsidR="00CA3499" w:rsidRPr="009E61C5" w:rsidRDefault="00CA3499" w:rsidP="00710736">
      <w:pPr>
        <w:pStyle w:val="Heading4"/>
        <w:spacing w:after="120"/>
      </w:pPr>
      <w:r w:rsidRPr="009E61C5">
        <w:t>Whether instrument is in accordance with statute</w:t>
      </w:r>
    </w:p>
    <w:p w:rsidR="00CA3499" w:rsidRPr="009E61C5" w:rsidRDefault="00CA3499" w:rsidP="00CA3499">
      <w:pPr>
        <w:pStyle w:val="Level1"/>
        <w:numPr>
          <w:ilvl w:val="0"/>
          <w:numId w:val="0"/>
        </w:numPr>
      </w:pPr>
      <w:r w:rsidRPr="009E61C5">
        <w:t xml:space="preserve">The committee notes that the instrument has commenced before its authorising provision (section 69(1B) of the </w:t>
      </w:r>
      <w:r w:rsidRPr="009E61C5">
        <w:rPr>
          <w:i/>
        </w:rPr>
        <w:t>Banking Act 1959</w:t>
      </w:r>
      <w:r w:rsidRPr="009E61C5">
        <w:t xml:space="preserve">), which will commence on 1 July 2013. The commencement of instruments in this way is provided for by section 4 of the </w:t>
      </w:r>
      <w:r w:rsidRPr="009E61C5">
        <w:rPr>
          <w:i/>
        </w:rPr>
        <w:t xml:space="preserve">Acts Interpretation Act 1901 </w:t>
      </w:r>
      <w:r w:rsidRPr="009E61C5">
        <w:t xml:space="preserve">(AIA). However, in light of the potential for the unclaimed moneys scheme to impact on personal property, </w:t>
      </w:r>
      <w:r w:rsidRPr="009E61C5">
        <w:rPr>
          <w:b/>
        </w:rPr>
        <w:t>the committee will seek advice from the minister regarding how the conditions under section 4 of the AIA apply, if at all, in this case</w:t>
      </w:r>
      <w:r w:rsidRPr="009E61C5">
        <w:t>.</w:t>
      </w:r>
    </w:p>
    <w:p w:rsidR="00CA3499" w:rsidRPr="009E61C5" w:rsidRDefault="00CA3499" w:rsidP="00CA3499">
      <w:pPr>
        <w:pStyle w:val="Heading3"/>
        <w:spacing w:before="600" w:after="120"/>
      </w:pPr>
      <w:r w:rsidRPr="009E61C5">
        <w:t>CASA EX12/13 - Exemption - operations by sport and recreational aircraft in restricted area R979A [F2013L00193]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Permits the operation of certain sport and recreational aircraft in a restricted area during the Australian International Air Show 2013 at Avalon, Victoria between 21 February 2013 and 5 March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Civil Aviation Safety Regulations 1998</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Infrastructure and Transport</w:t>
            </w:r>
          </w:p>
        </w:tc>
      </w:tr>
    </w:tbl>
    <w:p w:rsidR="00CA3499" w:rsidRPr="009E61C5" w:rsidRDefault="00CA3499" w:rsidP="00CA3499">
      <w:pPr>
        <w:spacing w:after="0"/>
        <w:rPr>
          <w:szCs w:val="26"/>
        </w:rPr>
      </w:pPr>
    </w:p>
    <w:p w:rsidR="00CA3499" w:rsidRPr="009E61C5" w:rsidRDefault="00CA3499" w:rsidP="00710736">
      <w:pPr>
        <w:pStyle w:val="Heading3"/>
      </w:pPr>
      <w:r w:rsidRPr="009E61C5">
        <w:t>ISSUE:</w:t>
      </w:r>
    </w:p>
    <w:p w:rsidR="00CA3499" w:rsidRPr="009E61C5" w:rsidRDefault="00CA3499" w:rsidP="00710736">
      <w:pPr>
        <w:pStyle w:val="Heading4"/>
        <w:spacing w:after="120"/>
      </w:pPr>
      <w:r w:rsidRPr="009E61C5">
        <w:t>Insufficient explanation provided regarding consultation</w:t>
      </w:r>
    </w:p>
    <w:p w:rsidR="00CA3499" w:rsidRPr="009E61C5" w:rsidRDefault="00CA3499" w:rsidP="00CA3499">
      <w:pPr>
        <w:pStyle w:val="Level1"/>
        <w:numPr>
          <w:ilvl w:val="0"/>
          <w:numId w:val="0"/>
        </w:num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states only that 'CASA has consulted with the organiser of the Air Show and internally with sports aviation subject matter experts'. The committee has </w:t>
      </w:r>
      <w:r w:rsidRPr="009E61C5">
        <w:lastRenderedPageBreak/>
        <w:t xml:space="preserve">routinely considered that very bare or overly general descriptions of consultation, such as this, do not in fact describe the nature of the consultation undertaken, as is required by section 26 of </w:t>
      </w:r>
      <w:r w:rsidRPr="009E61C5">
        <w:rPr>
          <w:szCs w:val="26"/>
        </w:rPr>
        <w:t xml:space="preserve">the </w:t>
      </w:r>
      <w:r w:rsidRPr="009E61C5">
        <w:rPr>
          <w:i/>
          <w:szCs w:val="26"/>
        </w:rPr>
        <w:t>Legislative Instruments Act 2003</w:t>
      </w:r>
      <w:r w:rsidRPr="009E61C5">
        <w:t xml:space="preserve">. </w:t>
      </w:r>
      <w:r w:rsidRPr="009E61C5">
        <w:rPr>
          <w:b/>
        </w:rPr>
        <w:t xml:space="preserve">The committee will therefore seek further information from the minister and request that the ES be updated in accordance with the requirements of the </w:t>
      </w:r>
      <w:r w:rsidRPr="009E61C5">
        <w:rPr>
          <w:b/>
          <w:i/>
          <w:szCs w:val="26"/>
        </w:rPr>
        <w:t>Legislative Instruments Act 2003</w:t>
      </w:r>
      <w:r w:rsidRPr="009E61C5">
        <w:rPr>
          <w:b/>
        </w:rPr>
        <w:t>.</w:t>
      </w:r>
    </w:p>
    <w:p w:rsidR="00CA3499" w:rsidRPr="009E61C5" w:rsidRDefault="00CA3499" w:rsidP="00CA3499">
      <w:pPr>
        <w:pStyle w:val="Heading3"/>
        <w:spacing w:before="600" w:after="120"/>
      </w:pPr>
      <w:r w:rsidRPr="009E61C5">
        <w:t>Civil Aviation Legislation Amendment Regulation 2013 (No. 1) [Select Legislative Instrument 2013 No. 5] [F2013L00218]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Civil Aviation Safety Regulations 1998 (CASR) and the Civil Aviation Regulations 1988 (CAR). New Parts 61, 64, 141 and 142, pertaining to flight crew licensing and training and authorisations for non-licensed personnel, are added to the CASR. Various consequential, transitional and savings amendments are made to the CASR and to the CAR</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Civil Aviation Act 1988</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Infrastructure and Transport</w:t>
            </w:r>
          </w:p>
        </w:tc>
      </w:tr>
    </w:tbl>
    <w:p w:rsidR="00CA3499" w:rsidRPr="009E61C5" w:rsidRDefault="00CA3499" w:rsidP="00CA3499">
      <w:pPr>
        <w:spacing w:after="0"/>
        <w:rPr>
          <w:szCs w:val="26"/>
        </w:rPr>
      </w:pPr>
    </w:p>
    <w:p w:rsidR="00CA3499" w:rsidRPr="009E61C5" w:rsidRDefault="00CA3499" w:rsidP="00710736">
      <w:pPr>
        <w:pStyle w:val="Heading4"/>
      </w:pPr>
      <w:r w:rsidRPr="009E61C5">
        <w:t>ISSUES:</w:t>
      </w:r>
    </w:p>
    <w:p w:rsidR="00CA3499" w:rsidRPr="009E61C5" w:rsidRDefault="00CA3499" w:rsidP="00710736">
      <w:pPr>
        <w:pStyle w:val="Heading4"/>
        <w:spacing w:after="120"/>
      </w:pPr>
      <w:r w:rsidRPr="009E61C5">
        <w:t>(a) Insufficiently defined discretion</w:t>
      </w:r>
    </w:p>
    <w:p w:rsidR="00CA3499" w:rsidRPr="009E61C5" w:rsidRDefault="00CA3499" w:rsidP="00CA3499">
      <w:pPr>
        <w:pStyle w:val="Level1"/>
        <w:numPr>
          <w:ilvl w:val="0"/>
          <w:numId w:val="0"/>
        </w:numPr>
      </w:pPr>
      <w:r w:rsidRPr="009E61C5">
        <w:t>This instrument makes a number of amendments to the air safety regulations aimed mainly at improving safety standards for aviation licensing and training. New regulation 61.225 deals with aeronautical knowledge examinations, and provides:</w:t>
      </w:r>
    </w:p>
    <w:p w:rsidR="00CA3499" w:rsidRPr="009E61C5" w:rsidRDefault="00CA3499" w:rsidP="00CA3499">
      <w:pPr>
        <w:pStyle w:val="Quote"/>
        <w:spacing w:before="120" w:after="120"/>
      </w:pPr>
      <w:r w:rsidRPr="009E61C5">
        <w:t>If on 4 occasions a person attempts, but fails to pass, an aeronautical knowledge examination, or a part of an examination, the person is not permitted to attempt the examination or part again until CASA is satisfied that the person has completed appropriate training.</w:t>
      </w:r>
    </w:p>
    <w:p w:rsidR="00CA3499" w:rsidRPr="009E61C5" w:rsidRDefault="00CA3499" w:rsidP="00CA3499">
      <w:pPr>
        <w:pStyle w:val="Level1"/>
        <w:numPr>
          <w:ilvl w:val="0"/>
          <w:numId w:val="0"/>
        </w:numPr>
      </w:pPr>
      <w:r w:rsidRPr="009E61C5">
        <w:t xml:space="preserve">The committee regards the discretion provided to CASA as potentially uncertain, particularly in relation to what will or may constitute 'appropriate training'. </w:t>
      </w:r>
      <w:r w:rsidRPr="009E61C5">
        <w:rPr>
          <w:b/>
        </w:rPr>
        <w:t>The committee will therefore seek further information from the minister</w:t>
      </w:r>
      <w:r w:rsidRPr="009E61C5">
        <w:t>.</w:t>
      </w:r>
    </w:p>
    <w:p w:rsidR="00CA3499" w:rsidRPr="009E61C5" w:rsidRDefault="00CA3499" w:rsidP="00710736">
      <w:pPr>
        <w:pStyle w:val="Heading4"/>
        <w:spacing w:after="120"/>
      </w:pPr>
      <w:r w:rsidRPr="009E61C5">
        <w:t>(b) Insufficiently defined offence provisions</w:t>
      </w:r>
    </w:p>
    <w:p w:rsidR="00CA3499" w:rsidRPr="009E61C5" w:rsidRDefault="00CA3499" w:rsidP="00CA3499">
      <w:pPr>
        <w:pStyle w:val="Level1"/>
        <w:numPr>
          <w:ilvl w:val="0"/>
          <w:numId w:val="0"/>
        </w:numPr>
      </w:pPr>
      <w:r w:rsidRPr="009E61C5">
        <w:t>New regulation 61.360 sets out obligations in relation to the keeping of personal logbooks by the holder of a flight crew licence or certificate of validation. Paragraph 61.360(1</w:t>
      </w:r>
      <w:proofErr w:type="gramStart"/>
      <w:r w:rsidRPr="009E61C5">
        <w:t>)(</w:t>
      </w:r>
      <w:proofErr w:type="gramEnd"/>
      <w:r w:rsidRPr="009E61C5">
        <w:t xml:space="preserve">b) creates a strict liability offence (with a penalty of up to 50 penalty units) for a holder to make an entry that is 'false or misleading'. However, the offence will not apply if the entry is 'not false or misleading in a material particular' (the same concept is also used in new regulation 264). While the concept of 'false or misleading in a material particular' is used, for example, in the </w:t>
      </w:r>
      <w:r w:rsidRPr="009E61C5">
        <w:rPr>
          <w:i/>
        </w:rPr>
        <w:t>Crimes Act 1914</w:t>
      </w:r>
      <w:r w:rsidRPr="009E61C5">
        <w:t xml:space="preserve"> and the Criminal Code, given the strict liability nature of the offence, the committee considers that further guidance might be provided as to how the phrase will </w:t>
      </w:r>
      <w:r w:rsidRPr="009E61C5">
        <w:lastRenderedPageBreak/>
        <w:t xml:space="preserve">be interpreted and applied in this context. </w:t>
      </w:r>
      <w:r w:rsidRPr="009E61C5">
        <w:rPr>
          <w:b/>
        </w:rPr>
        <w:t>The committee will therefore seek further information from the minister</w:t>
      </w:r>
      <w:r w:rsidRPr="009E61C5">
        <w:t>.</w:t>
      </w:r>
    </w:p>
    <w:p w:rsidR="00CA3499" w:rsidRPr="009E61C5" w:rsidRDefault="00CA3499" w:rsidP="00710736">
      <w:pPr>
        <w:pStyle w:val="Heading4"/>
        <w:spacing w:after="120"/>
      </w:pPr>
      <w:r w:rsidRPr="009E61C5">
        <w:t>(c) Vague or uncertain concepts</w:t>
      </w:r>
    </w:p>
    <w:p w:rsidR="00CA3499" w:rsidRPr="009E61C5" w:rsidRDefault="00CA3499" w:rsidP="00CA3499">
      <w:pPr>
        <w:pStyle w:val="Level1"/>
        <w:numPr>
          <w:ilvl w:val="0"/>
          <w:numId w:val="0"/>
        </w:numPr>
        <w:rPr>
          <w:szCs w:val="26"/>
        </w:rPr>
      </w:pPr>
      <w:r w:rsidRPr="009E61C5">
        <w:t>New regulations 141.070, 142.100 and 142.120 provide that the same person may occupy two specified positions within an operator organisation 'only in an unforeseen circumstance'. The committee considers that this concept could be vague or uncertain in its operation without some guidance as to what circumstances it may exclude or include.</w:t>
      </w:r>
      <w:r w:rsidRPr="009E61C5">
        <w:rPr>
          <w:szCs w:val="26"/>
        </w:rPr>
        <w:t xml:space="preserve"> </w:t>
      </w:r>
      <w:r w:rsidRPr="009E61C5">
        <w:rPr>
          <w:b/>
        </w:rPr>
        <w:t>The committee will therefore seek further information from the minister</w:t>
      </w:r>
      <w:r w:rsidRPr="009E61C5">
        <w:t>.</w:t>
      </w:r>
    </w:p>
    <w:p w:rsidR="00CA3499" w:rsidRPr="009E61C5" w:rsidRDefault="00CA3499" w:rsidP="00710736">
      <w:pPr>
        <w:pStyle w:val="Heading4"/>
        <w:spacing w:after="120"/>
      </w:pPr>
      <w:r w:rsidRPr="009E61C5">
        <w:t>(d) Strict liability offences</w:t>
      </w:r>
    </w:p>
    <w:p w:rsidR="00CA3499" w:rsidRPr="009E61C5" w:rsidRDefault="00CA3499" w:rsidP="00CA3499">
      <w:pPr>
        <w:pStyle w:val="Level1"/>
        <w:numPr>
          <w:ilvl w:val="0"/>
          <w:numId w:val="0"/>
        </w:numPr>
      </w:pPr>
      <w:r w:rsidRPr="009E61C5">
        <w:t>This instrument contains a number of strict liability offences. The ES notes that these offences:</w:t>
      </w:r>
    </w:p>
    <w:p w:rsidR="00CA3499" w:rsidRPr="009E61C5" w:rsidRDefault="00CA3499" w:rsidP="00CA3499">
      <w:pPr>
        <w:pStyle w:val="Quote"/>
        <w:spacing w:after="120"/>
      </w:pPr>
      <w:r w:rsidRPr="009E61C5">
        <w:t>…generally relate to situations in which an individual or organisation has performed an aviation-related activity without holding a necessary approval, certification or licence, or without doing something that is required to be done in relation to that activity.</w:t>
      </w:r>
    </w:p>
    <w:p w:rsidR="00CA3499" w:rsidRPr="009E61C5" w:rsidRDefault="00CA3499" w:rsidP="00CA3499">
      <w:pPr>
        <w:pStyle w:val="Level1"/>
        <w:numPr>
          <w:ilvl w:val="0"/>
          <w:numId w:val="0"/>
        </w:numPr>
      </w:pPr>
      <w:r w:rsidRPr="009E61C5">
        <w:t>The ES for the instrument provides a substantial justification for the framing of the offences as offences of strict liability, noting that:</w:t>
      </w:r>
    </w:p>
    <w:p w:rsidR="00CA3499" w:rsidRPr="009E61C5" w:rsidRDefault="00CA3499" w:rsidP="00CA3499">
      <w:pPr>
        <w:pStyle w:val="Bullet1"/>
      </w:pPr>
      <w:r w:rsidRPr="009E61C5">
        <w:t>any impact on a person's right to a presumption of innocence is justified by the regulatory imperatives of maintaining the safe operation of the aviation sector;</w:t>
      </w:r>
    </w:p>
    <w:p w:rsidR="00CA3499" w:rsidRPr="009E61C5" w:rsidRDefault="00CA3499" w:rsidP="00CA3499">
      <w:pPr>
        <w:pStyle w:val="Bullet1"/>
      </w:pPr>
      <w:r w:rsidRPr="009E61C5">
        <w:t>individuals participate in the sector with full knowledge of the regulatory approach; and</w:t>
      </w:r>
    </w:p>
    <w:p w:rsidR="00CA3499" w:rsidRPr="009E61C5" w:rsidRDefault="00CA3499" w:rsidP="00CA3499">
      <w:pPr>
        <w:pStyle w:val="Bullet1"/>
      </w:pPr>
      <w:proofErr w:type="gramStart"/>
      <w:r w:rsidRPr="009E61C5">
        <w:t>the</w:t>
      </w:r>
      <w:proofErr w:type="gramEnd"/>
      <w:r w:rsidRPr="009E61C5">
        <w:t xml:space="preserve"> penalties for the strict liability offences are proportionate (50 penalty units).</w:t>
      </w:r>
    </w:p>
    <w:p w:rsidR="00CA3499" w:rsidRPr="009E61C5" w:rsidRDefault="00CA3499" w:rsidP="00CA3499">
      <w:pPr>
        <w:rPr>
          <w:b/>
          <w:szCs w:val="26"/>
        </w:rPr>
      </w:pPr>
      <w:r w:rsidRPr="009E61C5">
        <w:rPr>
          <w:b/>
          <w:szCs w:val="26"/>
        </w:rPr>
        <w:t>In light of the justification provided, the committee draws the attention of the Senate to the inclusion of strict liability offences in this instrument, and makes no further comment.</w:t>
      </w:r>
    </w:p>
    <w:p w:rsidR="00CA3499" w:rsidRPr="009E61C5" w:rsidRDefault="00CA3499" w:rsidP="00CA3499">
      <w:pPr>
        <w:pStyle w:val="Heading3"/>
        <w:spacing w:after="120"/>
      </w:pPr>
      <w:r w:rsidRPr="009E61C5">
        <w:br w:type="page"/>
      </w:r>
      <w:r w:rsidRPr="009E61C5">
        <w:lastRenderedPageBreak/>
        <w:t>Competition and Consumer Act 2010 - Consumer Protection Notice No. 1 of 2013 - Safety Standard: Baby Walkers [F2013L00190]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Establishes a mandatory safety standard for baby walkers</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Competition and Consumer Act 2010</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Drafting</w:t>
      </w:r>
    </w:p>
    <w:p w:rsidR="00CA3499" w:rsidRPr="009E61C5" w:rsidRDefault="00CA3499" w:rsidP="00CA3499">
      <w:pPr>
        <w:pStyle w:val="Level1"/>
        <w:numPr>
          <w:ilvl w:val="0"/>
          <w:numId w:val="0"/>
        </w:numPr>
        <w:rPr>
          <w:szCs w:val="26"/>
        </w:rPr>
      </w:pPr>
      <w:r w:rsidRPr="009E61C5">
        <w:t xml:space="preserve">The ES to the instrument states that it is made under subsection 104(1) of the Australian Consumer Law in Schedule 2 to the </w:t>
      </w:r>
      <w:r w:rsidRPr="009E61C5">
        <w:rPr>
          <w:i/>
        </w:rPr>
        <w:t>Competition and Consumer Act 2010</w:t>
      </w:r>
      <w:r w:rsidRPr="009E61C5">
        <w:t xml:space="preserve">. As section 104 contains no express power to amend, vary or revoke a safety standard, the instrument </w:t>
      </w:r>
      <w:r w:rsidRPr="009E61C5">
        <w:rPr>
          <w:szCs w:val="26"/>
        </w:rPr>
        <w:t xml:space="preserve">presumably relies on subsection 33(3) of the </w:t>
      </w:r>
      <w:r w:rsidRPr="009E61C5">
        <w:rPr>
          <w:i/>
          <w:szCs w:val="26"/>
        </w:rPr>
        <w:t>Acts Interpretation Act 1901</w:t>
      </w:r>
      <w:r w:rsidRPr="009E61C5">
        <w:rPr>
          <w:szCs w:val="26"/>
        </w:rPr>
        <w:t xml:space="preserve">, which provides that the power to make an instrument includes the power to vary or revoke the instrument. If that is the case, it would be preferable for the making words of the instrument and the ES to clearly identify the authority for the exercise of the power. </w:t>
      </w:r>
      <w:r w:rsidRPr="009E61C5">
        <w:rPr>
          <w:b/>
          <w:szCs w:val="26"/>
        </w:rPr>
        <w:t>The committee will therefore draw this issue to the attention of the minister</w:t>
      </w:r>
      <w:r w:rsidRPr="009E61C5">
        <w:rPr>
          <w:szCs w:val="26"/>
        </w:rPr>
        <w:t>.</w:t>
      </w:r>
    </w:p>
    <w:p w:rsidR="00CA3499" w:rsidRPr="009E61C5" w:rsidRDefault="00CA3499" w:rsidP="00CA3499">
      <w:pPr>
        <w:pStyle w:val="Heading3"/>
        <w:spacing w:before="600" w:after="120"/>
      </w:pPr>
      <w:r w:rsidRPr="009E61C5">
        <w:t>Customs Amendment Regulation 2013 (No. 1) [Select Legislative Instrument 2013 No. 1] [F2013L00204]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Customs Regulations 1926 to extend the period during which travellers can acquire goods free of customs duty through the scheme from 30 days to 60 days</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Customs Act 1901</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Attorney-General's</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Insufficient explanation provided regarding consultation</w:t>
      </w:r>
    </w:p>
    <w:p w:rsidR="00CA3499" w:rsidRPr="009E61C5" w:rsidRDefault="00CA3499" w:rsidP="00CA3499">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w:t>
      </w:r>
      <w:r w:rsidRPr="009E61C5">
        <w:rPr>
          <w:szCs w:val="26"/>
        </w:rPr>
        <w:t xml:space="preserve">states only that 'Consultation was undertaken on the change and no changes were made as a result of consultation'. The committee has routinely considered that very bare or overly general descriptions of consultation, such as this, do not in fact describe the nature of the consultation undertaken, as required by </w:t>
      </w:r>
      <w:r w:rsidRPr="009E61C5">
        <w:rPr>
          <w:szCs w:val="26"/>
        </w:rPr>
        <w:lastRenderedPageBreak/>
        <w:t xml:space="preserve">section 26 of the </w:t>
      </w:r>
      <w:r w:rsidRPr="009E61C5">
        <w:rPr>
          <w:i/>
          <w:szCs w:val="26"/>
        </w:rPr>
        <w:t>Legislative Instruments Act 2003</w:t>
      </w:r>
      <w:r w:rsidRPr="009E61C5">
        <w:rPr>
          <w:szCs w:val="26"/>
        </w:rPr>
        <w:t xml:space="preserve">. </w:t>
      </w:r>
      <w:r w:rsidRPr="009E61C5">
        <w:rPr>
          <w:b/>
        </w:rPr>
        <w:t xml:space="preserve">The committee will therefore seek further information from the minister and request that the ES be updated in accordance with the requirements of the </w:t>
      </w:r>
      <w:r w:rsidRPr="009E61C5">
        <w:rPr>
          <w:b/>
          <w:i/>
          <w:szCs w:val="26"/>
        </w:rPr>
        <w:t>Legislative Instruments Act 2003</w:t>
      </w:r>
      <w:r w:rsidRPr="009E61C5">
        <w:t>.</w:t>
      </w:r>
    </w:p>
    <w:p w:rsidR="00CA3499" w:rsidRPr="009E61C5" w:rsidRDefault="00CA3499" w:rsidP="00CA3499">
      <w:pPr>
        <w:pStyle w:val="Heading3"/>
        <w:spacing w:before="600" w:after="120"/>
      </w:pPr>
      <w:r w:rsidRPr="009E61C5">
        <w:t>Customs (Drug and Alcohol Testing) Regulation 2013 [Select Legislative Instrument No. 2, 2013] [F2013L00191]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Prescribes matters required to implement drug and alcohol testing within Customs and Border Protection</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Customs Administration Act 1985</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Attorney-General's</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CA3499">
      <w:pPr>
        <w:pStyle w:val="Heading4"/>
        <w:numPr>
          <w:ilvl w:val="3"/>
          <w:numId w:val="21"/>
        </w:numPr>
        <w:spacing w:before="120" w:after="120"/>
      </w:pPr>
      <w:r w:rsidRPr="009E61C5">
        <w:t>Insufficient explanation provided regarding consultation</w:t>
      </w:r>
    </w:p>
    <w:p w:rsidR="00CA3499" w:rsidRPr="009E61C5" w:rsidRDefault="00CA3499" w:rsidP="00CA3499">
      <w:pPr>
        <w:rPr>
          <w:szCs w:val="26"/>
        </w:r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for </w:t>
      </w:r>
      <w:r w:rsidRPr="009E61C5">
        <w:rPr>
          <w:szCs w:val="26"/>
        </w:rPr>
        <w:t>this instrument states:</w:t>
      </w:r>
    </w:p>
    <w:p w:rsidR="00CA3499" w:rsidRPr="009E61C5" w:rsidRDefault="00CA3499" w:rsidP="00CA3499">
      <w:pPr>
        <w:pStyle w:val="Quote"/>
      </w:pPr>
      <w:r w:rsidRPr="009E61C5">
        <w:t>No consultation was undertaken specifically in relation to the amendments; however, extensive consultation and communication has been undertaken with representatives from the Agency business lines as well as with their union representatives in the design of drug and alcohol testing.</w:t>
      </w:r>
    </w:p>
    <w:p w:rsidR="00CA3499" w:rsidRPr="009E61C5" w:rsidRDefault="00CA3499" w:rsidP="00CA3499">
      <w:pPr>
        <w:rPr>
          <w:szCs w:val="26"/>
        </w:rPr>
      </w:pPr>
      <w:r w:rsidRPr="009E61C5">
        <w:rPr>
          <w:szCs w:val="26"/>
        </w:rPr>
        <w:t xml:space="preserve">The committee considers that the ES is apparently contradictory on the issue of consultation. While it states that no consultation was undertaken, it also suggests that there was consultation in relation to the testing regime that the instrument introduces. </w:t>
      </w:r>
      <w:r w:rsidRPr="009E61C5">
        <w:rPr>
          <w:b/>
        </w:rPr>
        <w:t>The committee will therefore seek further information from the minister</w:t>
      </w:r>
      <w:r w:rsidRPr="009E61C5">
        <w:t>.</w:t>
      </w:r>
    </w:p>
    <w:p w:rsidR="00CA3499" w:rsidRPr="009E61C5" w:rsidRDefault="00CA3499" w:rsidP="00CA3499">
      <w:pPr>
        <w:pStyle w:val="Heading3"/>
        <w:spacing w:after="120"/>
      </w:pPr>
      <w:r w:rsidRPr="009E61C5">
        <w:br w:type="page"/>
      </w:r>
      <w:r w:rsidRPr="009E61C5">
        <w:lastRenderedPageBreak/>
        <w:t>Excise Amendment Regulation 2013 (No. 1) [Select Legislative Instrument 2013 No. 10] [F2013L00199]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Excise Regulations 1925 to make a minor change to the sealed bag scheme</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Excise Act 1901</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Insufficient explanation provided regarding consultation</w:t>
      </w:r>
    </w:p>
    <w:p w:rsidR="00CA3499" w:rsidRPr="009E61C5" w:rsidRDefault="00CA3499" w:rsidP="00CA3499">
      <w:pPr>
        <w:pStyle w:val="Level1"/>
        <w:numPr>
          <w:ilvl w:val="0"/>
          <w:numId w:val="0"/>
        </w:numPr>
        <w:rPr>
          <w:szCs w:val="26"/>
        </w:rPr>
      </w:pPr>
      <w:r w:rsidRPr="009E61C5">
        <w:rPr>
          <w:szCs w:val="26"/>
        </w:rPr>
        <w:t xml:space="preserve">Section 17 of the </w:t>
      </w:r>
      <w:r w:rsidRPr="009E61C5">
        <w:rPr>
          <w:i/>
          <w:szCs w:val="26"/>
        </w:rPr>
        <w:t xml:space="preserve">Legislative Instruments Act 2003 </w:t>
      </w:r>
      <w:r w:rsidRPr="009E61C5">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w:t>
      </w:r>
      <w:r w:rsidRPr="009E61C5">
        <w:t xml:space="preserve"> the ES for this instrument states only that '</w:t>
      </w:r>
      <w:r w:rsidRPr="009E61C5">
        <w:rPr>
          <w:szCs w:val="26"/>
        </w:rPr>
        <w:t xml:space="preserve">Consultation was undertaken on the change and no changes were made as a result of consultation'. The committee has routinely considered that very bare or overly general descriptions of consultation, such as this, do not in fact describe the nature of the consultation undertaken, as required by section 26 of the </w:t>
      </w:r>
      <w:r w:rsidRPr="009E61C5">
        <w:rPr>
          <w:i/>
          <w:szCs w:val="26"/>
        </w:rPr>
        <w:t>Legislative Instruments Act 2003</w:t>
      </w:r>
      <w:r w:rsidRPr="009E61C5">
        <w:rPr>
          <w:szCs w:val="26"/>
        </w:rPr>
        <w:t xml:space="preserve">. </w:t>
      </w:r>
      <w:r w:rsidRPr="009E61C5">
        <w:rPr>
          <w:b/>
        </w:rPr>
        <w:t xml:space="preserve">The committee will therefore seek further information from the minister and request that the ES be updated in accordance with the requirements of the </w:t>
      </w:r>
      <w:r w:rsidRPr="009E61C5">
        <w:rPr>
          <w:b/>
          <w:i/>
          <w:szCs w:val="26"/>
        </w:rPr>
        <w:t>Legislative Instruments Act 2003</w:t>
      </w:r>
      <w:r w:rsidRPr="009E61C5">
        <w:t>.</w:t>
      </w:r>
    </w:p>
    <w:p w:rsidR="00CA3499" w:rsidRPr="009E61C5" w:rsidRDefault="00CA3499" w:rsidP="00CA3499">
      <w:pPr>
        <w:pStyle w:val="Heading3"/>
        <w:spacing w:before="600" w:after="120"/>
      </w:pPr>
      <w:r w:rsidRPr="009E61C5">
        <w:t>Higher Education Support Act 2003 - Amendment No. 1 to the Administration Guidelines 2012 [F2013L00180]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 xml:space="preserve">Sets out the requirements for determining a census date under section 169-25(2) of the </w:t>
            </w:r>
            <w:r w:rsidRPr="009E61C5">
              <w:rPr>
                <w:rFonts w:ascii="Times New Roman" w:hAnsi="Times New Roman"/>
                <w:i/>
                <w:sz w:val="24"/>
                <w:szCs w:val="24"/>
              </w:rPr>
              <w:t>Higher Education Support Act 2003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Higher Education Support Act 2003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Industry, Innovation, Science, Research and Tertiary Education</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CA3499">
      <w:pPr>
        <w:pStyle w:val="Heading4"/>
        <w:numPr>
          <w:ilvl w:val="3"/>
          <w:numId w:val="21"/>
        </w:numPr>
        <w:spacing w:before="120" w:after="120"/>
      </w:pPr>
      <w:r w:rsidRPr="009E61C5">
        <w:t>Drafting</w:t>
      </w:r>
    </w:p>
    <w:p w:rsidR="00CA3499" w:rsidRPr="009E61C5" w:rsidRDefault="00CA3499" w:rsidP="00CA3499">
      <w:pPr>
        <w:rPr>
          <w:szCs w:val="26"/>
        </w:rPr>
      </w:pPr>
      <w:r w:rsidRPr="009E61C5">
        <w:rPr>
          <w:szCs w:val="26"/>
        </w:rPr>
        <w:t xml:space="preserve">This instrument revokes and replaces a previous guideline. The ES to the instrument states that it is made under section 238-10 of the </w:t>
      </w:r>
      <w:r w:rsidRPr="009E61C5">
        <w:rPr>
          <w:i/>
          <w:szCs w:val="26"/>
        </w:rPr>
        <w:t>Higher Education Support Act 2003</w:t>
      </w:r>
      <w:r w:rsidRPr="009E61C5">
        <w:rPr>
          <w:szCs w:val="26"/>
        </w:rPr>
        <w:t xml:space="preserve">. As section 238-10 contains no express power to amend, vary or revoke guidelines, </w:t>
      </w:r>
      <w:r w:rsidRPr="009E61C5">
        <w:t xml:space="preserve">the instrument </w:t>
      </w:r>
      <w:r w:rsidRPr="009E61C5">
        <w:rPr>
          <w:szCs w:val="26"/>
        </w:rPr>
        <w:t xml:space="preserve">presumably also relies on subsection 33(3) of the </w:t>
      </w:r>
      <w:r w:rsidRPr="009E61C5">
        <w:rPr>
          <w:i/>
          <w:szCs w:val="26"/>
        </w:rPr>
        <w:t>Acts Interpretation Act 1901</w:t>
      </w:r>
      <w:r w:rsidRPr="009E61C5">
        <w:rPr>
          <w:szCs w:val="26"/>
        </w:rPr>
        <w:t xml:space="preserve">, which provides that the power to make an instrument includes the power to vary or revoke the instrument. If that is the case, it would be preferable for the making </w:t>
      </w:r>
      <w:r w:rsidRPr="009E61C5">
        <w:rPr>
          <w:szCs w:val="26"/>
        </w:rPr>
        <w:lastRenderedPageBreak/>
        <w:t xml:space="preserve">words of the instrument and the ES to clearly identify the authority for the exercise of the power. </w:t>
      </w:r>
      <w:r w:rsidRPr="009E61C5">
        <w:rPr>
          <w:b/>
          <w:szCs w:val="26"/>
        </w:rPr>
        <w:t>The committee will therefore draw this issue to the attention of the minister</w:t>
      </w:r>
      <w:r w:rsidRPr="009E61C5">
        <w:rPr>
          <w:szCs w:val="26"/>
        </w:rPr>
        <w:t>.</w:t>
      </w:r>
    </w:p>
    <w:p w:rsidR="00CA3499" w:rsidRPr="009E61C5" w:rsidRDefault="00CA3499" w:rsidP="00CA3499">
      <w:pPr>
        <w:pStyle w:val="Heading3"/>
        <w:spacing w:before="600" w:after="120"/>
      </w:pPr>
      <w:r w:rsidRPr="009E61C5">
        <w:t>Social Security (Deeming Threshold Rates) (</w:t>
      </w:r>
      <w:proofErr w:type="spellStart"/>
      <w:r w:rsidRPr="009E61C5">
        <w:t>FaHCSIA</w:t>
      </w:r>
      <w:proofErr w:type="spellEnd"/>
      <w:r w:rsidRPr="009E61C5">
        <w:t>) Determination 2013 [F2013L00216]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Revokes the Social Security (Deeming Threshold Rates) (</w:t>
            </w:r>
            <w:proofErr w:type="spellStart"/>
            <w:r w:rsidRPr="009E61C5">
              <w:rPr>
                <w:rFonts w:ascii="Times New Roman" w:hAnsi="Times New Roman"/>
                <w:sz w:val="24"/>
                <w:szCs w:val="24"/>
              </w:rPr>
              <w:t>FaHCSIA</w:t>
            </w:r>
            <w:proofErr w:type="spellEnd"/>
            <w:r w:rsidRPr="009E61C5">
              <w:rPr>
                <w:rFonts w:ascii="Times New Roman" w:hAnsi="Times New Roman"/>
                <w:sz w:val="24"/>
                <w:szCs w:val="24"/>
              </w:rPr>
              <w:t xml:space="preserve">) Determination 2010 (No. 1) to change the deemed rates of income upon financial assets for the purposes of the means test for the rate of social security payments administered by </w:t>
            </w:r>
            <w:proofErr w:type="spellStart"/>
            <w:r w:rsidRPr="009E61C5">
              <w:rPr>
                <w:rFonts w:ascii="Times New Roman" w:hAnsi="Times New Roman"/>
                <w:sz w:val="24"/>
                <w:szCs w:val="24"/>
              </w:rPr>
              <w:t>FaHCSIA</w:t>
            </w:r>
            <w:proofErr w:type="spellEnd"/>
            <w:r w:rsidRPr="009E61C5">
              <w:rPr>
                <w:rFonts w:ascii="Times New Roman" w:hAnsi="Times New Roman"/>
                <w:sz w:val="24"/>
                <w:szCs w:val="24"/>
              </w:rPr>
              <w:t xml:space="preserve"> (from 20 March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Social Security Act 1991</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Families, Housing, Community Services and Indigenous Affairs</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Unclear basis for calculation or setting of deeming rates</w:t>
      </w:r>
    </w:p>
    <w:p w:rsidR="00CA3499" w:rsidRPr="009E61C5" w:rsidRDefault="00CA3499" w:rsidP="00CA3499">
      <w:pPr>
        <w:pStyle w:val="Level1"/>
        <w:numPr>
          <w:ilvl w:val="0"/>
          <w:numId w:val="0"/>
        </w:numPr>
      </w:pPr>
      <w:r w:rsidRPr="009E61C5">
        <w:t>This instrument revokes and replaces the Social Security (Deeming Threshold Rates) (</w:t>
      </w:r>
      <w:proofErr w:type="spellStart"/>
      <w:r w:rsidRPr="009E61C5">
        <w:t>FaHCSIA</w:t>
      </w:r>
      <w:proofErr w:type="spellEnd"/>
      <w:r w:rsidRPr="009E61C5">
        <w:t xml:space="preserve">) Determination 2010 (No. 1) to change the deemed rates of income upon financial assets for the purposes of the means test for the rate of social security payments administered by </w:t>
      </w:r>
      <w:proofErr w:type="spellStart"/>
      <w:r w:rsidRPr="009E61C5">
        <w:t>FaHCSIA</w:t>
      </w:r>
      <w:proofErr w:type="spellEnd"/>
      <w:r w:rsidRPr="009E61C5">
        <w:t xml:space="preserve">. Noting that </w:t>
      </w:r>
      <w:r w:rsidRPr="009E61C5">
        <w:rPr>
          <w:szCs w:val="26"/>
        </w:rPr>
        <w:t xml:space="preserve">the deeming rate would presumably have a financial impact on certain individuals, the committee's usual expectation is that the ES to an instrument with a financial impact sets out the basis on which any new </w:t>
      </w:r>
      <w:proofErr w:type="gramStart"/>
      <w:r w:rsidRPr="009E61C5">
        <w:rPr>
          <w:szCs w:val="26"/>
        </w:rPr>
        <w:t>fee,</w:t>
      </w:r>
      <w:proofErr w:type="gramEnd"/>
      <w:r w:rsidRPr="009E61C5">
        <w:rPr>
          <w:szCs w:val="26"/>
        </w:rPr>
        <w:t xml:space="preserve"> rate or charge has been set or calculated. </w:t>
      </w:r>
      <w:r w:rsidRPr="009E61C5">
        <w:rPr>
          <w:b/>
        </w:rPr>
        <w:t>The committee will therefore seek further information from the minister</w:t>
      </w:r>
      <w:r w:rsidRPr="009E61C5">
        <w:t>.</w:t>
      </w:r>
    </w:p>
    <w:p w:rsidR="00CA3499" w:rsidRPr="009E61C5" w:rsidRDefault="00CA3499" w:rsidP="00710736">
      <w:pPr>
        <w:pStyle w:val="Heading3"/>
        <w:spacing w:before="120" w:after="120"/>
      </w:pPr>
      <w:r w:rsidRPr="009E61C5">
        <w:br w:type="page"/>
      </w:r>
      <w:r w:rsidRPr="009E61C5">
        <w:lastRenderedPageBreak/>
        <w:t>Export Market Development Grants (Extended Lodgement and Consultant Quality Incentive) Determination 2012 [F2013L00258]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Contains the circumstances and number of months, as required by subsection 70(4) of the</w:t>
            </w:r>
            <w:r w:rsidRPr="009E61C5">
              <w:rPr>
                <w:rFonts w:ascii="Times New Roman" w:hAnsi="Times New Roman"/>
                <w:i/>
                <w:sz w:val="24"/>
                <w:szCs w:val="24"/>
              </w:rPr>
              <w:t xml:space="preserve"> Export Market Development Grants Act 1997</w:t>
            </w:r>
            <w:r w:rsidRPr="009E61C5">
              <w:rPr>
                <w:rFonts w:ascii="Times New Roman" w:hAnsi="Times New Roman"/>
                <w:sz w:val="24"/>
                <w:szCs w:val="24"/>
              </w:rPr>
              <w:t xml:space="preserve"> (the Act), to be complied with by </w:t>
            </w:r>
            <w:proofErr w:type="spellStart"/>
            <w:r w:rsidRPr="009E61C5">
              <w:rPr>
                <w:rFonts w:ascii="Times New Roman" w:hAnsi="Times New Roman"/>
                <w:sz w:val="24"/>
                <w:szCs w:val="24"/>
              </w:rPr>
              <w:t>Austrade</w:t>
            </w:r>
            <w:proofErr w:type="spellEnd"/>
            <w:r w:rsidRPr="009E61C5">
              <w:rPr>
                <w:rFonts w:ascii="Times New Roman" w:hAnsi="Times New Roman"/>
                <w:sz w:val="24"/>
                <w:szCs w:val="24"/>
              </w:rPr>
              <w:t xml:space="preserve"> in assessing whether an application for grant meets the requirements of subparagraph 70(2)(b)(ii) of the Act</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18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Export Market Development Grants Act 1997</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Foreign Affairs and Trade</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CA3499">
      <w:pPr>
        <w:pStyle w:val="Heading4"/>
        <w:numPr>
          <w:ilvl w:val="3"/>
          <w:numId w:val="21"/>
        </w:numPr>
        <w:spacing w:before="120" w:after="120"/>
      </w:pPr>
      <w:r w:rsidRPr="009E61C5">
        <w:t>Availability of merits review</w:t>
      </w:r>
    </w:p>
    <w:p w:rsidR="00CA3499" w:rsidRPr="009E61C5" w:rsidRDefault="00CA3499" w:rsidP="00CA3499">
      <w:pPr>
        <w:rPr>
          <w:szCs w:val="26"/>
        </w:rPr>
      </w:pPr>
      <w:r w:rsidRPr="009E61C5">
        <w:rPr>
          <w:szCs w:val="26"/>
        </w:rPr>
        <w:t>Regarding review rights, the ES for this instrument states:</w:t>
      </w:r>
    </w:p>
    <w:p w:rsidR="00CA3499" w:rsidRPr="009E61C5" w:rsidRDefault="00CA3499" w:rsidP="00CA3499">
      <w:pPr>
        <w:pStyle w:val="Quote"/>
      </w:pPr>
      <w:r w:rsidRPr="009E61C5">
        <w:t xml:space="preserve">'Review rights exist in relation to decisions made by </w:t>
      </w:r>
      <w:proofErr w:type="spellStart"/>
      <w:r w:rsidRPr="009E61C5">
        <w:t>Austrade</w:t>
      </w:r>
      <w:proofErr w:type="spellEnd"/>
      <w:r w:rsidRPr="009E61C5">
        <w:t xml:space="preserve"> to refuse to approve an applicant as a participating EMDG consultant or to cancel the approval of a participating EMDG consultant.</w:t>
      </w:r>
    </w:p>
    <w:p w:rsidR="00CA3499" w:rsidRPr="009E61C5" w:rsidRDefault="00CA3499" w:rsidP="00CA3499">
      <w:pPr>
        <w:pStyle w:val="Level1"/>
        <w:numPr>
          <w:ilvl w:val="0"/>
          <w:numId w:val="0"/>
        </w:numPr>
      </w:pPr>
      <w:r w:rsidRPr="009E61C5">
        <w:t xml:space="preserve">However, while the instrument clearly provides for these decisions to be reconsidered by the CEO of </w:t>
      </w:r>
      <w:proofErr w:type="spellStart"/>
      <w:r w:rsidRPr="009E61C5">
        <w:t>Austrade</w:t>
      </w:r>
      <w:proofErr w:type="spellEnd"/>
      <w:r w:rsidRPr="009E61C5">
        <w:t xml:space="preserve">, it does not appear, on its face, to make provision for merits review as the ES may be taken to suggest. The committee notes that the decisions in question also do not appear to be (Administrative Appeals Tribunal) reviewable decisions for the purposes of section 97 of the </w:t>
      </w:r>
      <w:r w:rsidRPr="009E61C5">
        <w:rPr>
          <w:i/>
        </w:rPr>
        <w:t>Export Market Development Act 1997</w:t>
      </w:r>
      <w:r w:rsidRPr="009E61C5">
        <w:t>.</w:t>
      </w:r>
      <w:r w:rsidRPr="009E61C5">
        <w:rPr>
          <w:szCs w:val="26"/>
        </w:rPr>
        <w:t xml:space="preserve"> </w:t>
      </w:r>
      <w:r w:rsidRPr="009E61C5">
        <w:rPr>
          <w:b/>
          <w:szCs w:val="26"/>
        </w:rPr>
        <w:t>The committee will therefore seek further information from the minister</w:t>
      </w:r>
      <w:r w:rsidRPr="009E61C5">
        <w:rPr>
          <w:szCs w:val="26"/>
        </w:rPr>
        <w:t>.</w:t>
      </w:r>
    </w:p>
    <w:p w:rsidR="00CA3499" w:rsidRPr="009E61C5" w:rsidRDefault="00CA3499" w:rsidP="00CA3499">
      <w:pPr>
        <w:pStyle w:val="Heading3"/>
        <w:spacing w:before="600" w:after="120"/>
      </w:pPr>
      <w:r w:rsidRPr="009E61C5">
        <w:t>Financial Sector (Collection of Data) (reporting standard) determination No. 38 of 2013 - GRS 300.0_G Statement of Financial Position (Level 2 Insurance Group) [F2013L00359]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Makes Reporting Standard GRS 300.0_G Statement of Financial Position (Level 2 Insurance Group).</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25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 xml:space="preserve">Financial Sector (Collection of Data) Act 2001  </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CA3499">
      <w:pPr>
        <w:pStyle w:val="Heading4"/>
        <w:numPr>
          <w:ilvl w:val="3"/>
          <w:numId w:val="21"/>
        </w:numPr>
        <w:spacing w:before="120" w:after="120"/>
      </w:pPr>
      <w:r w:rsidRPr="009E61C5">
        <w:t>Drafting</w:t>
      </w:r>
    </w:p>
    <w:p w:rsidR="00CA3499" w:rsidRPr="009E61C5" w:rsidRDefault="00CA3499" w:rsidP="00CA3499">
      <w:pPr>
        <w:rPr>
          <w:szCs w:val="26"/>
        </w:rPr>
      </w:pPr>
      <w:r w:rsidRPr="009E61C5">
        <w:t>This instrument includes 19 pages of 'instructions, which define a number of terms or concepts. The entries for the terms define at sections 3.5.1 and 3.5.2 contains an apparent typographical error: '</w:t>
      </w:r>
      <w:proofErr w:type="gramStart"/>
      <w:r w:rsidRPr="009E61C5">
        <w:t>The</w:t>
      </w:r>
      <w:proofErr w:type="gramEnd"/>
      <w:r w:rsidRPr="009E61C5">
        <w:t xml:space="preserve"> is' is used for 'This is'. The committee generally raises such matters on an advice-only basis in the interests of ensuring the highest quality of standards of drafting in legislative instruments in accordance with subsection 3(c) of the </w:t>
      </w:r>
      <w:r w:rsidRPr="009E61C5">
        <w:rPr>
          <w:i/>
        </w:rPr>
        <w:t>Legislative Instruments Act 2003</w:t>
      </w:r>
      <w:r w:rsidRPr="009E61C5">
        <w:t xml:space="preserve">, which states that one of its </w:t>
      </w:r>
      <w:r w:rsidRPr="009E61C5">
        <w:lastRenderedPageBreak/>
        <w:t xml:space="preserve">objects is 'encouraging high standards in the drafting of legislative instruments to promote their legal effectiveness, their clarity and their intelligibility to anticipated users'. </w:t>
      </w:r>
      <w:r w:rsidRPr="009E61C5">
        <w:rPr>
          <w:b/>
          <w:szCs w:val="26"/>
        </w:rPr>
        <w:t>The committee will therefore draw this issue to the attention of the minister</w:t>
      </w:r>
      <w:r w:rsidRPr="009E61C5">
        <w:rPr>
          <w:szCs w:val="26"/>
        </w:rPr>
        <w:t>.</w:t>
      </w:r>
    </w:p>
    <w:p w:rsidR="00CA3499" w:rsidRPr="009E61C5" w:rsidRDefault="00CA3499" w:rsidP="00CA3499">
      <w:pPr>
        <w:pStyle w:val="Heading3"/>
        <w:spacing w:before="600" w:after="120"/>
      </w:pPr>
      <w:r w:rsidRPr="009E61C5">
        <w:t>Schools Assistance (Guidelines for Determining Socio-Economic Status (SES) Scores) Amendment 2013 (No. 1) [F2013L00349]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 xml:space="preserve">Amends the Guidelines for Determining Socio-Economic Status (SES) Scores 2008 to reflect the extension of funding for recurrent expenditure under the </w:t>
            </w:r>
            <w:r w:rsidRPr="009E61C5">
              <w:rPr>
                <w:rFonts w:ascii="Times New Roman" w:hAnsi="Times New Roman"/>
                <w:i/>
                <w:sz w:val="24"/>
                <w:szCs w:val="24"/>
              </w:rPr>
              <w:t>Schools Assistance Act 2008</w:t>
            </w:r>
            <w:r w:rsidRPr="009E61C5">
              <w:rPr>
                <w:rFonts w:ascii="Times New Roman" w:hAnsi="Times New Roman"/>
                <w:sz w:val="24"/>
                <w:szCs w:val="24"/>
              </w:rPr>
              <w:t>.</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24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 xml:space="preserve">Schools Assistance Act 2008  </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Education, Employment and Workplace Relations</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Drafting</w:t>
      </w:r>
    </w:p>
    <w:p w:rsidR="00CA3499" w:rsidRPr="009E61C5" w:rsidRDefault="00CA3499" w:rsidP="00CA3499">
      <w:pPr>
        <w:pStyle w:val="Level1"/>
        <w:numPr>
          <w:ilvl w:val="0"/>
          <w:numId w:val="0"/>
        </w:numPr>
      </w:pPr>
      <w:r w:rsidRPr="009E61C5">
        <w:t xml:space="preserve">The instrument states that it is made under subsection 72(3) of the </w:t>
      </w:r>
      <w:r w:rsidRPr="009E61C5">
        <w:rPr>
          <w:i/>
        </w:rPr>
        <w:t>Schools Assistance Act 2008</w:t>
      </w:r>
      <w:r w:rsidRPr="009E61C5">
        <w:t xml:space="preserve">. As subsection 72(3) contains no express power to amend, vary or revoke such guidelines, the instrument presumably relies also on the power contained in subsection 33(3) of the </w:t>
      </w:r>
      <w:r w:rsidRPr="009E61C5">
        <w:rPr>
          <w:i/>
        </w:rPr>
        <w:t>Acts Interpretation Act 1901</w:t>
      </w:r>
      <w:r w:rsidRPr="009E61C5">
        <w:t xml:space="preserve">, </w:t>
      </w:r>
      <w:r w:rsidRPr="009E61C5">
        <w:rPr>
          <w:szCs w:val="26"/>
        </w:rPr>
        <w:t xml:space="preserve">which provides that the power to make an instrument includes the power to vary or revoke the instrument. If that is the case, it would be preferable for the making words of the instrument and the ES to clearly identify the authority for the exercise of the power. </w:t>
      </w:r>
      <w:r w:rsidRPr="009E61C5">
        <w:rPr>
          <w:b/>
          <w:szCs w:val="26"/>
        </w:rPr>
        <w:t>The committee will therefore draw this issue to the attention of the minister</w:t>
      </w:r>
      <w:r w:rsidRPr="009E61C5">
        <w:rPr>
          <w:szCs w:val="26"/>
        </w:rPr>
        <w:t>.</w:t>
      </w:r>
    </w:p>
    <w:p w:rsidR="00CA3499" w:rsidRPr="009E61C5" w:rsidRDefault="00CA3499" w:rsidP="00CA3499">
      <w:pPr>
        <w:pStyle w:val="Heading3"/>
        <w:spacing w:before="120" w:after="120"/>
      </w:pPr>
      <w:r w:rsidRPr="009E61C5">
        <w:br w:type="page"/>
      </w:r>
      <w:r w:rsidRPr="009E61C5">
        <w:lastRenderedPageBreak/>
        <w:t>Stronger Futures in the Northern Territory (Alcohol Management Plans) Rule 2013 [F2013L00290]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Prescribes requirements applying to alcohol management plans.</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20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Stronger Futures in the Northern Territory Act 2012</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Families, Housing, Community Services and Indigenous Affairs</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710736">
      <w:pPr>
        <w:pStyle w:val="Heading4"/>
        <w:numPr>
          <w:ilvl w:val="3"/>
          <w:numId w:val="21"/>
        </w:numPr>
        <w:spacing w:before="120" w:after="120"/>
      </w:pPr>
      <w:r w:rsidRPr="009E61C5">
        <w:t>Drafting</w:t>
      </w:r>
    </w:p>
    <w:p w:rsidR="00CA3499" w:rsidRPr="009E61C5" w:rsidRDefault="00CA3499" w:rsidP="00CA3499">
      <w:pPr>
        <w:pStyle w:val="Level1"/>
        <w:numPr>
          <w:ilvl w:val="0"/>
          <w:numId w:val="0"/>
        </w:numPr>
      </w:pPr>
      <w:r w:rsidRPr="009E61C5">
        <w:t xml:space="preserve">This instrument states that it is made under subsection 17(3) of the </w:t>
      </w:r>
      <w:r w:rsidRPr="009E61C5">
        <w:rPr>
          <w:i/>
        </w:rPr>
        <w:t>Stronger Futures in the Northern Territory Act 2012</w:t>
      </w:r>
      <w:r w:rsidRPr="009E61C5">
        <w:t>, which deals with alcohol management plans and provides:</w:t>
      </w:r>
    </w:p>
    <w:p w:rsidR="00CA3499" w:rsidRPr="009E61C5" w:rsidRDefault="00CA3499" w:rsidP="00CA3499">
      <w:pPr>
        <w:pStyle w:val="Quote"/>
      </w:pPr>
      <w:r w:rsidRPr="009E61C5">
        <w:t>The Minister must not approve [an alcohol management plan] under subsection (1) unless the Minister is satisfied that the plan meets the requirements (if any) applying to alcohol management plans that are prescribed by the rules.</w:t>
      </w:r>
    </w:p>
    <w:p w:rsidR="00CA3499" w:rsidRPr="009E61C5" w:rsidRDefault="00CA3499" w:rsidP="00CA3499">
      <w:pPr>
        <w:rPr>
          <w:szCs w:val="26"/>
        </w:rPr>
      </w:pPr>
      <w:r w:rsidRPr="009E61C5">
        <w:rPr>
          <w:szCs w:val="26"/>
        </w:rPr>
        <w:t xml:space="preserve">The committee notes that the general power to make rules appears to be authorised by section 119 of the </w:t>
      </w:r>
      <w:r w:rsidRPr="009E61C5">
        <w:rPr>
          <w:i/>
        </w:rPr>
        <w:t>Stronger Futures in the Northern Territory Act 2012</w:t>
      </w:r>
      <w:r w:rsidRPr="009E61C5">
        <w:rPr>
          <w:szCs w:val="26"/>
        </w:rPr>
        <w:t xml:space="preserve">. If that is the case, it would be preferable for the making words of the instrument to refer to that section rather than subsection 17(3). </w:t>
      </w:r>
      <w:r w:rsidRPr="009E61C5">
        <w:rPr>
          <w:b/>
          <w:szCs w:val="26"/>
        </w:rPr>
        <w:t>The committee will therefore draw this issue to the attention of the minister</w:t>
      </w:r>
      <w:r w:rsidRPr="009E61C5">
        <w:rPr>
          <w:szCs w:val="26"/>
        </w:rPr>
        <w:t>.</w:t>
      </w:r>
    </w:p>
    <w:p w:rsidR="00CA3499" w:rsidRPr="009E61C5" w:rsidRDefault="00CA3499" w:rsidP="00CA3499">
      <w:pPr>
        <w:pStyle w:val="Heading3"/>
        <w:spacing w:before="600" w:after="120"/>
      </w:pPr>
      <w:r w:rsidRPr="009E61C5">
        <w:t>Income Tax Assessment Amendment Regulation 2013 (No. 1) [Select Legislative Instrument 2013 No. 24] [F2013L00394]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Purpose</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Amends the Income Tax Assessment Regulations 1997 to insert the 'cents per kilometre' rates for calculating tax deductions for car expenses for the 2012-13 income year</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b/>
                <w:sz w:val="24"/>
                <w:szCs w:val="24"/>
              </w:rPr>
              <w:t>Last day to disallow</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25 June 2013</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Authorising legislation</w:t>
            </w:r>
          </w:p>
        </w:tc>
        <w:tc>
          <w:tcPr>
            <w:tcW w:w="6520" w:type="dxa"/>
          </w:tcPr>
          <w:p w:rsidR="00CA3499" w:rsidRPr="009E61C5" w:rsidRDefault="00CA3499" w:rsidP="00CF1039">
            <w:pPr>
              <w:pStyle w:val="letterheadbody"/>
              <w:spacing w:line="264" w:lineRule="auto"/>
              <w:ind w:left="0"/>
              <w:rPr>
                <w:rFonts w:ascii="Times New Roman" w:hAnsi="Times New Roman"/>
                <w:i/>
                <w:sz w:val="24"/>
                <w:szCs w:val="24"/>
              </w:rPr>
            </w:pPr>
            <w:r w:rsidRPr="009E61C5">
              <w:rPr>
                <w:rFonts w:ascii="Times New Roman" w:hAnsi="Times New Roman"/>
                <w:i/>
                <w:sz w:val="24"/>
                <w:szCs w:val="24"/>
              </w:rPr>
              <w:t>Income Tax Assessment Act 1997</w:t>
            </w:r>
          </w:p>
        </w:tc>
      </w:tr>
      <w:tr w:rsidR="00CA3499" w:rsidRPr="009E61C5" w:rsidTr="00CF1039">
        <w:tc>
          <w:tcPr>
            <w:tcW w:w="2552" w:type="dxa"/>
          </w:tcPr>
          <w:p w:rsidR="00CA3499" w:rsidRPr="009E61C5" w:rsidRDefault="00CA3499" w:rsidP="00CF1039">
            <w:pPr>
              <w:pStyle w:val="letterheadbody"/>
              <w:spacing w:line="264" w:lineRule="auto"/>
              <w:ind w:left="0"/>
              <w:rPr>
                <w:rFonts w:ascii="Times New Roman" w:hAnsi="Times New Roman"/>
                <w:b/>
                <w:sz w:val="24"/>
                <w:szCs w:val="24"/>
              </w:rPr>
            </w:pPr>
            <w:r w:rsidRPr="009E61C5">
              <w:rPr>
                <w:rFonts w:ascii="Times New Roman" w:hAnsi="Times New Roman"/>
                <w:b/>
                <w:sz w:val="24"/>
                <w:szCs w:val="24"/>
              </w:rPr>
              <w:t>Department</w:t>
            </w:r>
          </w:p>
        </w:tc>
        <w:tc>
          <w:tcPr>
            <w:tcW w:w="6520" w:type="dxa"/>
          </w:tcPr>
          <w:p w:rsidR="00CA3499" w:rsidRPr="009E61C5" w:rsidRDefault="00CA3499" w:rsidP="00CF1039">
            <w:pPr>
              <w:pStyle w:val="letterheadbody"/>
              <w:spacing w:line="264" w:lineRule="auto"/>
              <w:ind w:left="0"/>
              <w:rPr>
                <w:rFonts w:ascii="Times New Roman" w:hAnsi="Times New Roman"/>
                <w:sz w:val="24"/>
                <w:szCs w:val="24"/>
              </w:rPr>
            </w:pPr>
            <w:r w:rsidRPr="009E61C5">
              <w:rPr>
                <w:rFonts w:ascii="Times New Roman" w:hAnsi="Times New Roman"/>
                <w:sz w:val="24"/>
                <w:szCs w:val="24"/>
              </w:rPr>
              <w:t>Treasury</w:t>
            </w:r>
          </w:p>
        </w:tc>
      </w:tr>
    </w:tbl>
    <w:p w:rsidR="00CA3499" w:rsidRPr="009E61C5" w:rsidRDefault="00CA3499" w:rsidP="00CA3499">
      <w:pPr>
        <w:spacing w:after="0"/>
        <w:rPr>
          <w:szCs w:val="26"/>
        </w:rPr>
      </w:pPr>
    </w:p>
    <w:p w:rsidR="00CA3499" w:rsidRPr="009E61C5" w:rsidRDefault="00CA3499" w:rsidP="00CA3499">
      <w:pPr>
        <w:spacing w:after="0"/>
        <w:rPr>
          <w:b/>
          <w:szCs w:val="26"/>
        </w:rPr>
      </w:pPr>
      <w:r w:rsidRPr="009E61C5">
        <w:rPr>
          <w:b/>
          <w:szCs w:val="26"/>
        </w:rPr>
        <w:t>ISSUE:</w:t>
      </w:r>
    </w:p>
    <w:p w:rsidR="00CA3499" w:rsidRPr="009E61C5" w:rsidRDefault="00CA3499" w:rsidP="00CA3499">
      <w:pPr>
        <w:pStyle w:val="Heading4"/>
        <w:numPr>
          <w:ilvl w:val="3"/>
          <w:numId w:val="21"/>
        </w:numPr>
        <w:spacing w:before="120" w:after="120"/>
      </w:pPr>
      <w:r w:rsidRPr="009E61C5">
        <w:t>No explanation provided in relation to consultation</w:t>
      </w:r>
    </w:p>
    <w:p w:rsidR="00CA3499" w:rsidRPr="009E61C5" w:rsidRDefault="00CA3499" w:rsidP="00CA3499">
      <w:r w:rsidRPr="009E61C5">
        <w:rPr>
          <w:szCs w:val="26"/>
        </w:rPr>
        <w:t xml:space="preserve">Section 17 of the </w:t>
      </w:r>
      <w:r w:rsidRPr="009E61C5">
        <w:rPr>
          <w:i/>
          <w:szCs w:val="26"/>
        </w:rPr>
        <w:t xml:space="preserve">Legislative Instruments Act 2003 </w:t>
      </w:r>
      <w:r w:rsidRPr="009E61C5">
        <w:rPr>
          <w:szCs w:val="26"/>
        </w:rPr>
        <w:t xml:space="preserve">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for </w:t>
      </w:r>
      <w:r w:rsidRPr="009E61C5">
        <w:rPr>
          <w:szCs w:val="26"/>
        </w:rPr>
        <w:lastRenderedPageBreak/>
        <w:t xml:space="preserve">the instrument contains no reference to consultation. </w:t>
      </w:r>
      <w:r w:rsidRPr="009E61C5">
        <w:rPr>
          <w:b/>
        </w:rPr>
        <w:t xml:space="preserve">The committee will therefore seek further information from the minister and request that the ES be updated in accordance with the requirements of the </w:t>
      </w:r>
      <w:r w:rsidRPr="009E61C5">
        <w:rPr>
          <w:b/>
          <w:i/>
        </w:rPr>
        <w:t>Legislative Instruments Act 2003</w:t>
      </w:r>
      <w:r w:rsidRPr="009E61C5">
        <w:t>.</w:t>
      </w:r>
    </w:p>
    <w:p w:rsidR="00CA3499" w:rsidRPr="00364316" w:rsidRDefault="00CA3499" w:rsidP="00CA3499">
      <w:pPr>
        <w:pStyle w:val="Bullet1"/>
        <w:numPr>
          <w:ilvl w:val="0"/>
          <w:numId w:val="0"/>
        </w:numPr>
        <w:ind w:left="851" w:hanging="851"/>
        <w:rPr>
          <w:b/>
        </w:rPr>
      </w:pPr>
    </w:p>
    <w:p w:rsidR="00CF1039" w:rsidRDefault="00CF1039" w:rsidP="00325264">
      <w:pPr>
        <w:sectPr w:rsidR="00CF1039" w:rsidSect="007576B7">
          <w:headerReference w:type="even" r:id="rId12"/>
          <w:headerReference w:type="default" r:id="rId13"/>
          <w:footerReference w:type="even" r:id="rId14"/>
          <w:footerReference w:type="default" r:id="rId15"/>
          <w:headerReference w:type="first" r:id="rId16"/>
          <w:pgSz w:w="11906" w:h="16838" w:code="9"/>
          <w:pgMar w:top="1440" w:right="1440" w:bottom="1202" w:left="1440" w:header="1134" w:footer="720" w:gutter="0"/>
          <w:pgNumType w:start="139"/>
          <w:cols w:space="720"/>
          <w:titlePg/>
          <w:docGrid w:linePitch="354"/>
        </w:sectPr>
      </w:pPr>
    </w:p>
    <w:p w:rsidR="00CF1039" w:rsidRPr="00910F4E" w:rsidRDefault="00CF1039" w:rsidP="00CF1039">
      <w:pPr>
        <w:pStyle w:val="Heading1"/>
      </w:pPr>
      <w:r w:rsidRPr="00910F4E">
        <w:lastRenderedPageBreak/>
        <w:t>Chapter 2</w:t>
      </w:r>
    </w:p>
    <w:p w:rsidR="00CF1039" w:rsidRPr="00910F4E" w:rsidRDefault="00CF1039" w:rsidP="00CF1039">
      <w:pPr>
        <w:pStyle w:val="Heading2"/>
      </w:pPr>
      <w:r w:rsidRPr="00910F4E">
        <w:t>Concluded matters</w:t>
      </w:r>
    </w:p>
    <w:p w:rsidR="00CF1039" w:rsidRPr="00910F4E" w:rsidRDefault="00CF1039" w:rsidP="00CF1039">
      <w:pPr>
        <w:pStyle w:val="Level1"/>
        <w:numPr>
          <w:ilvl w:val="0"/>
          <w:numId w:val="0"/>
        </w:numPr>
      </w:pPr>
      <w:r w:rsidRPr="00910F4E">
        <w:t xml:space="preserve">This chapter lists matters previously raised by the committee and considered at its meeting on </w:t>
      </w:r>
      <w:r w:rsidRPr="00910F4E">
        <w:rPr>
          <w:b/>
        </w:rPr>
        <w:t>14 March 2013</w:t>
      </w:r>
      <w:r w:rsidRPr="00910F4E">
        <w:t>. The committee has concluded its interest in these matters on the basis of responses received from ministers or relevant instrument-makers.</w:t>
      </w:r>
    </w:p>
    <w:p w:rsidR="00CF1039" w:rsidRPr="00910F4E" w:rsidRDefault="00CF1039" w:rsidP="00CF1039">
      <w:pPr>
        <w:pStyle w:val="Level1"/>
        <w:numPr>
          <w:ilvl w:val="0"/>
          <w:numId w:val="0"/>
        </w:numPr>
      </w:pPr>
      <w:r w:rsidRPr="00910F4E">
        <w:t>Correspondence relating to these matters is included at Appendix 3.</w:t>
      </w:r>
    </w:p>
    <w:p w:rsidR="00CF1039" w:rsidRPr="00910F4E" w:rsidRDefault="00CF1039" w:rsidP="00CF1039">
      <w:pPr>
        <w:pStyle w:val="Heading3"/>
        <w:spacing w:before="240"/>
      </w:pPr>
      <w:r w:rsidRPr="00910F4E">
        <w:t>Water Act 2007 – Basin Plan 2012 [F2012L02240]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Specifies a Basin Plan for the Murray-Darling Basin.</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r w:rsidRPr="00910F4E">
              <w:rPr>
                <w:rStyle w:val="FootnoteReference"/>
                <w:rFonts w:ascii="Times New Roman" w:hAnsi="Times New Roman"/>
                <w:b/>
                <w:sz w:val="24"/>
                <w:szCs w:val="24"/>
              </w:rPr>
              <w:footnoteReference w:id="5"/>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19 March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Water Act 2007</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Sustainability, Environment, Water, Population and Communities</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Availability of merits review for certain decisions</w:t>
      </w:r>
    </w:p>
    <w:p w:rsidR="00CF1039" w:rsidRPr="00910F4E" w:rsidRDefault="00CF1039" w:rsidP="00CF1039">
      <w:pPr>
        <w:rPr>
          <w:szCs w:val="26"/>
        </w:rPr>
      </w:pPr>
      <w:r w:rsidRPr="00910F4E">
        <w:rPr>
          <w:szCs w:val="26"/>
        </w:rPr>
        <w:t xml:space="preserve">Part 3 of the plan requires an irrigation infrastructure operator (IIO) to specify a person's water delivery rights, changes to those rights, and irrigation rights and changes to those rights. The committee considers that it is not clear from the plan what rights of review a person has in relation to decisions made by an irrigation infrastructure operator </w:t>
      </w:r>
      <w:r w:rsidRPr="00910F4E">
        <w:rPr>
          <w:b/>
          <w:szCs w:val="26"/>
        </w:rPr>
        <w:t>[the committee sought further information from the minister]</w:t>
      </w:r>
      <w:r w:rsidRPr="00910F4E">
        <w:rPr>
          <w:szCs w:val="26"/>
        </w:rPr>
        <w:t>.</w:t>
      </w:r>
    </w:p>
    <w:p w:rsidR="00CF1039" w:rsidRPr="00910F4E" w:rsidRDefault="00CF1039" w:rsidP="00CF1039">
      <w:pPr>
        <w:rPr>
          <w:b/>
          <w:szCs w:val="26"/>
        </w:rPr>
      </w:pPr>
      <w:r w:rsidRPr="00910F4E">
        <w:rPr>
          <w:b/>
          <w:szCs w:val="26"/>
        </w:rPr>
        <w:t>MINISTER'S RESPONSE:</w:t>
      </w:r>
    </w:p>
    <w:p w:rsidR="00CF1039" w:rsidRPr="00910F4E" w:rsidRDefault="00CF1039" w:rsidP="00CF1039">
      <w:pPr>
        <w:rPr>
          <w:szCs w:val="26"/>
        </w:rPr>
      </w:pPr>
      <w:r w:rsidRPr="00910F4E">
        <w:rPr>
          <w:szCs w:val="26"/>
        </w:rPr>
        <w:t>The minister advised that an IIO's decisions are governed by the framework established by the laws of the relevant states, the relevant Water Resource Plan and the governance structure and rules of the operator itself. Review of these decisions is therefore governed by the relevant state laws and operating rules of the IIOs. The water market rules also specify a dispute resolution process which includes the ability of the holder of an irrigation right to enter into formal negotiations with an IIO.</w:t>
      </w:r>
    </w:p>
    <w:p w:rsidR="00CF1039" w:rsidRPr="00910F4E" w:rsidRDefault="00CF1039" w:rsidP="00CF1039">
      <w:pPr>
        <w:rPr>
          <w:b/>
          <w:szCs w:val="26"/>
        </w:rPr>
      </w:pPr>
      <w:r w:rsidRPr="00910F4E">
        <w:rPr>
          <w:b/>
          <w:szCs w:val="26"/>
        </w:rPr>
        <w:t>COMMITTEE RESPONSE:</w:t>
      </w:r>
    </w:p>
    <w:p w:rsidR="00CF1039" w:rsidRPr="00910F4E" w:rsidRDefault="00CF1039" w:rsidP="00CF1039">
      <w:pPr>
        <w:rPr>
          <w:szCs w:val="26"/>
        </w:rPr>
      </w:pPr>
      <w:r w:rsidRPr="00910F4E">
        <w:rPr>
          <w:b/>
          <w:szCs w:val="26"/>
        </w:rPr>
        <w:t>The committee thanks the minster for his response and has concluded its interest in the matter</w:t>
      </w:r>
      <w:r w:rsidRPr="00910F4E">
        <w:rPr>
          <w:szCs w:val="26"/>
        </w:rPr>
        <w:t>.</w:t>
      </w:r>
    </w:p>
    <w:p w:rsidR="00CF1039" w:rsidRPr="00910F4E" w:rsidRDefault="00CF1039" w:rsidP="00CF1039">
      <w:pPr>
        <w:spacing w:after="0"/>
        <w:jc w:val="left"/>
        <w:rPr>
          <w:b/>
          <w:sz w:val="28"/>
        </w:rPr>
      </w:pPr>
      <w:r w:rsidRPr="00910F4E">
        <w:br w:type="page"/>
      </w:r>
    </w:p>
    <w:p w:rsidR="00CF1039" w:rsidRPr="00910F4E" w:rsidRDefault="00CF1039" w:rsidP="00CF1039">
      <w:pPr>
        <w:pStyle w:val="Heading3"/>
      </w:pPr>
      <w:r w:rsidRPr="00910F4E">
        <w:lastRenderedPageBreak/>
        <w:t>Defence and Strategic Goods List Amendment 2012 (No. 1) [F2012L02318]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Amends the list of defence and dual-use goods which are prohibited from being exported from Australia without a licence or permission granted by the minister or an authorised person</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Customs Act 1901</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Defence</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Insufficient information regarding consultation</w:t>
      </w:r>
    </w:p>
    <w:p w:rsidR="00CF1039" w:rsidRPr="00910F4E" w:rsidRDefault="00CF1039" w:rsidP="00CF1039">
      <w:pPr>
        <w:spacing w:line="264" w:lineRule="auto"/>
      </w:pPr>
      <w:r w:rsidRPr="00910F4E">
        <w:rPr>
          <w:szCs w:val="26"/>
        </w:rPr>
        <w:t xml:space="preserve">Section 17 of the </w:t>
      </w:r>
      <w:r w:rsidRPr="00910F4E">
        <w:rPr>
          <w:i/>
          <w:szCs w:val="26"/>
        </w:rPr>
        <w:t xml:space="preserve">Legislative Instruments Act 2003 </w:t>
      </w:r>
      <w:r w:rsidRPr="00910F4E">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explanatory statement (ES) which must accompany an instrument is required to describe the nature of any consultation that has been carried out or, if there has been no consultation, to explain why none was undertaken (section 26).</w:t>
      </w:r>
      <w:r w:rsidRPr="00910F4E">
        <w:rPr>
          <w:rStyle w:val="FootnoteReference"/>
          <w:szCs w:val="26"/>
        </w:rPr>
        <w:footnoteReference w:id="6"/>
      </w:r>
      <w:r w:rsidRPr="00910F4E">
        <w:rPr>
          <w:szCs w:val="26"/>
        </w:rPr>
        <w:t xml:space="preserve"> With reference to these requirements, </w:t>
      </w:r>
      <w:r w:rsidRPr="00910F4E">
        <w:t xml:space="preserve">the committee notes that, while the ES for the instrument refers to issues raised in the review of the Defence Trade Control Bill, it goes on to state that these issues (and more general stakeholder engagement) will be addressed through the provision of training and materials through the Defence Export Control Office, in consultation with the Strengthened Export Controls Steering Group (the composition of which is not described). The committee considers it is unclear as to why consultation was considered unnecessary or inappropriate in this case </w:t>
      </w:r>
      <w:r w:rsidRPr="00910F4E">
        <w:rPr>
          <w:b/>
        </w:rPr>
        <w:t xml:space="preserve">[the committee sought further information from the minister and requested that, if necessary, the ES be updated in accordance with the requirements of the </w:t>
      </w:r>
      <w:r w:rsidRPr="00910F4E">
        <w:rPr>
          <w:b/>
          <w:i/>
        </w:rPr>
        <w:t>Legislative Instruments Act 2003</w:t>
      </w:r>
      <w:r w:rsidRPr="00910F4E">
        <w:rPr>
          <w:b/>
        </w:rPr>
        <w:t>]</w:t>
      </w:r>
      <w:r w:rsidRPr="00910F4E">
        <w:t>.</w:t>
      </w:r>
    </w:p>
    <w:p w:rsidR="00CF1039" w:rsidRPr="00910F4E" w:rsidRDefault="00CF1039" w:rsidP="00CF1039">
      <w:pPr>
        <w:rPr>
          <w:b/>
          <w:szCs w:val="26"/>
        </w:rPr>
      </w:pPr>
      <w:r w:rsidRPr="00910F4E">
        <w:rPr>
          <w:b/>
          <w:szCs w:val="26"/>
        </w:rPr>
        <w:t>MINISTER'S RESPONSE:</w:t>
      </w:r>
    </w:p>
    <w:p w:rsidR="00CF1039" w:rsidRPr="00910F4E" w:rsidRDefault="00CF1039" w:rsidP="00CF1039">
      <w:pPr>
        <w:rPr>
          <w:szCs w:val="26"/>
        </w:rPr>
      </w:pPr>
      <w:r w:rsidRPr="00910F4E">
        <w:rPr>
          <w:szCs w:val="26"/>
        </w:rPr>
        <w:t>The minister advised that no consultation was undertaken on the amendment as it had minimal or no effect on Australian industry. The Strengthened Export Controls Steering Group, which has four industry representatives, would be consulted on further Defence and Strategic Goods List training and materials. The minister further advised that the ES had been amended to clarify why consultation was considered unnecessary for this amendment.</w:t>
      </w:r>
    </w:p>
    <w:p w:rsidR="00CF1039" w:rsidRPr="00910F4E" w:rsidRDefault="00CF1039" w:rsidP="00CF1039">
      <w:pPr>
        <w:spacing w:after="0"/>
        <w:jc w:val="left"/>
        <w:rPr>
          <w:b/>
          <w:szCs w:val="26"/>
        </w:rPr>
      </w:pPr>
      <w:r w:rsidRPr="00910F4E">
        <w:rPr>
          <w:b/>
          <w:szCs w:val="26"/>
        </w:rPr>
        <w:br w:type="page"/>
      </w:r>
    </w:p>
    <w:p w:rsidR="00CF1039" w:rsidRPr="00910F4E" w:rsidRDefault="00CF1039" w:rsidP="00CF1039">
      <w:pPr>
        <w:spacing w:after="120"/>
        <w:rPr>
          <w:b/>
          <w:szCs w:val="26"/>
        </w:rPr>
      </w:pPr>
      <w:r w:rsidRPr="00910F4E">
        <w:rPr>
          <w:b/>
          <w:szCs w:val="26"/>
        </w:rPr>
        <w:lastRenderedPageBreak/>
        <w:t>COMMITTEE RESPONSE:</w:t>
      </w:r>
    </w:p>
    <w:p w:rsidR="00CF1039" w:rsidRPr="00910F4E" w:rsidRDefault="00CF1039" w:rsidP="00CF1039">
      <w:pPr>
        <w:rPr>
          <w:szCs w:val="26"/>
        </w:rPr>
      </w:pPr>
      <w:r w:rsidRPr="00910F4E">
        <w:rPr>
          <w:b/>
          <w:szCs w:val="26"/>
        </w:rPr>
        <w:t>The committee thanks the minster for his response and has concluded its interest in the matter</w:t>
      </w:r>
      <w:r w:rsidRPr="00910F4E">
        <w:rPr>
          <w:szCs w:val="26"/>
        </w:rPr>
        <w:t>.</w:t>
      </w:r>
    </w:p>
    <w:p w:rsidR="00CF1039" w:rsidRPr="00910F4E" w:rsidRDefault="00CF1039" w:rsidP="00CF1039">
      <w:pPr>
        <w:pStyle w:val="Heading3"/>
        <w:spacing w:before="480"/>
      </w:pPr>
      <w:r w:rsidRPr="00910F4E">
        <w:t xml:space="preserve">Ozone Protection and Synthetic Greenhouse Gas Management Amendment Regulation 2012 (No. 3) [Select Legislative Instrument 2012 No. 260] [F2012L02267]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Increases the permit application fees specified in the principal regulations from 1 January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21 March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Ozone Protection and Synthetic Greenhouse Gas Management Act 1989</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Sustainability, Environment, Water, Population and Communities</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Insufficient information regarding consultation</w:t>
      </w:r>
    </w:p>
    <w:p w:rsidR="00CF1039" w:rsidRPr="00910F4E" w:rsidRDefault="00CF1039" w:rsidP="00CF1039">
      <w:pPr>
        <w:pStyle w:val="Level1"/>
        <w:numPr>
          <w:ilvl w:val="0"/>
          <w:numId w:val="0"/>
        </w:numPr>
      </w:pPr>
      <w:r w:rsidRPr="00910F4E">
        <w:rPr>
          <w:szCs w:val="26"/>
        </w:rPr>
        <w:t xml:space="preserve">Section 17 of the </w:t>
      </w:r>
      <w:r w:rsidRPr="00910F4E">
        <w:rPr>
          <w:i/>
          <w:szCs w:val="26"/>
        </w:rPr>
        <w:t xml:space="preserve">Legislative Instruments Act 2003 </w:t>
      </w:r>
      <w:r w:rsidRPr="00910F4E">
        <w:rPr>
          <w:szCs w:val="26"/>
        </w:rPr>
        <w:t>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w:t>
      </w:r>
      <w:r w:rsidRPr="00910F4E">
        <w:t xml:space="preserve"> With reference to these requirements, the committee notes that, while the ES for the instrument refers to a 'short period' of unspecified duration during which advice on the fee increases will be provided to industry members, there is no indication that there has been any consultation prior to the making of the instrument </w:t>
      </w:r>
      <w:r w:rsidRPr="00910F4E">
        <w:rPr>
          <w:b/>
        </w:rPr>
        <w:t xml:space="preserve">[the committee sought further information from the parliamentary secretary and requested that the ES be updated in accordance with the requirements of the </w:t>
      </w:r>
      <w:r w:rsidRPr="00910F4E">
        <w:rPr>
          <w:b/>
          <w:i/>
        </w:rPr>
        <w:t>Legislative Instruments Act 2003</w:t>
      </w:r>
      <w:r w:rsidRPr="00910F4E">
        <w:rPr>
          <w:b/>
        </w:rPr>
        <w:t>]</w:t>
      </w:r>
      <w:r w:rsidRPr="00910F4E">
        <w:t>.</w:t>
      </w:r>
    </w:p>
    <w:p w:rsidR="00CF1039" w:rsidRPr="00910F4E" w:rsidRDefault="00CF1039" w:rsidP="00CF1039">
      <w:pPr>
        <w:rPr>
          <w:b/>
          <w:szCs w:val="26"/>
        </w:rPr>
      </w:pPr>
      <w:r w:rsidRPr="00910F4E">
        <w:rPr>
          <w:b/>
          <w:szCs w:val="26"/>
        </w:rPr>
        <w:t>PARLIAMENTARY SECRETARY'S RESPONSE:</w:t>
      </w:r>
    </w:p>
    <w:p w:rsidR="00CF1039" w:rsidRPr="00910F4E" w:rsidRDefault="00CF1039" w:rsidP="00CF1039">
      <w:pPr>
        <w:rPr>
          <w:szCs w:val="26"/>
        </w:rPr>
      </w:pPr>
      <w:r w:rsidRPr="00910F4E">
        <w:rPr>
          <w:szCs w:val="26"/>
        </w:rPr>
        <w:t>The parliamentary secretary advised that extensive consultation was undertaken between 2009 and 2012 with member organisations of the Australian Refrigeration Council and the Fire Protection Association of Australia, and that these organisations supported an increase in fees. The parliamentary secretary further advised that the ES will be amended to provide the requisite information on the consultation.</w:t>
      </w:r>
    </w:p>
    <w:p w:rsidR="00CF1039" w:rsidRPr="00910F4E" w:rsidRDefault="00CF1039" w:rsidP="00CF1039">
      <w:pPr>
        <w:rPr>
          <w:b/>
          <w:szCs w:val="26"/>
        </w:rPr>
      </w:pPr>
      <w:r w:rsidRPr="00910F4E">
        <w:rPr>
          <w:b/>
          <w:szCs w:val="26"/>
        </w:rPr>
        <w:t>COMMITTEE RESPONSE:</w:t>
      </w:r>
    </w:p>
    <w:p w:rsidR="00CF1039" w:rsidRPr="00910F4E" w:rsidRDefault="00CF1039" w:rsidP="00CF1039">
      <w:pPr>
        <w:rPr>
          <w:b/>
          <w:sz w:val="28"/>
        </w:rPr>
      </w:pPr>
      <w:r w:rsidRPr="00910F4E">
        <w:rPr>
          <w:b/>
          <w:szCs w:val="26"/>
        </w:rPr>
        <w:t>The committee thanks the parliamentary secretary for his response and has concluded its interest in the matter</w:t>
      </w:r>
      <w:r w:rsidRPr="00910F4E">
        <w:rPr>
          <w:szCs w:val="26"/>
        </w:rPr>
        <w:t>.</w:t>
      </w:r>
      <w:r w:rsidRPr="00910F4E">
        <w:br w:type="page"/>
      </w:r>
    </w:p>
    <w:p w:rsidR="00CF1039" w:rsidRPr="00910F4E" w:rsidRDefault="00CF1039" w:rsidP="00CF1039">
      <w:pPr>
        <w:pStyle w:val="Heading3"/>
      </w:pPr>
      <w:r w:rsidRPr="00910F4E">
        <w:lastRenderedPageBreak/>
        <w:t>Health Insurance (General Medical Services Table) Amendment Regulation 2012 (No. 5) [Select Legislative Instrument 2012 No. 296] [F2012L02406]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Amends the Health Insurance (General Medical Services Table) Regulation 2012 to include a number of minor changes to implement Government policies in relation to Medicare</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Health Insurance Act 1973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Health and Ageing</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ISSUES:</w:t>
      </w:r>
    </w:p>
    <w:p w:rsidR="00CF1039" w:rsidRPr="00910F4E" w:rsidRDefault="00CF1039" w:rsidP="00CF1039">
      <w:pPr>
        <w:pStyle w:val="Heading4"/>
        <w:numPr>
          <w:ilvl w:val="3"/>
          <w:numId w:val="21"/>
        </w:numPr>
        <w:spacing w:before="120" w:after="120"/>
      </w:pPr>
      <w:r w:rsidRPr="00910F4E">
        <w:t>(a) Insufficient information regarding consultation</w:t>
      </w:r>
    </w:p>
    <w:p w:rsidR="00CF1039" w:rsidRPr="00910F4E" w:rsidRDefault="00CF1039" w:rsidP="00CF1039">
      <w:pPr>
        <w:pStyle w:val="Level1"/>
        <w:numPr>
          <w:ilvl w:val="0"/>
          <w:numId w:val="0"/>
        </w:numPr>
      </w:pPr>
      <w:r w:rsidRPr="00910F4E">
        <w:t xml:space="preserve">Section 17 of the </w:t>
      </w:r>
      <w:r w:rsidRPr="00910F4E">
        <w:rPr>
          <w:i/>
        </w:rPr>
        <w:t>Legislative Instruments Act 2003</w:t>
      </w:r>
      <w:r w:rsidRPr="00910F4E">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that accompanies the instrument states only that the 'change is a minor amendment to correct an omission in the Principal Regulation'. In the committee's view, this statement is not sufficient to satisfy the requirement that an ES describe the nature of consultation undertaken, or provide an explanation of why consultation was not undertaken </w:t>
      </w:r>
      <w:r w:rsidRPr="00910F4E">
        <w:rPr>
          <w:b/>
        </w:rPr>
        <w:t xml:space="preserve">[the committee sought further information from the minister and requested that the ES be updated in accordance with the requirements of the </w:t>
      </w:r>
      <w:r w:rsidRPr="00910F4E">
        <w:rPr>
          <w:b/>
          <w:i/>
        </w:rPr>
        <w:t>Legislative Instruments Act 2003</w:t>
      </w:r>
      <w:r w:rsidRPr="00910F4E">
        <w:rPr>
          <w:b/>
        </w:rPr>
        <w:t>]</w:t>
      </w:r>
      <w:r w:rsidRPr="00910F4E">
        <w:t>.</w:t>
      </w:r>
    </w:p>
    <w:p w:rsidR="00CF1039" w:rsidRPr="00910F4E" w:rsidRDefault="00CF1039" w:rsidP="00CF1039">
      <w:pPr>
        <w:pStyle w:val="Heading4"/>
        <w:numPr>
          <w:ilvl w:val="3"/>
          <w:numId w:val="21"/>
        </w:numPr>
        <w:spacing w:before="120" w:after="120"/>
      </w:pPr>
      <w:r w:rsidRPr="00910F4E">
        <w:t xml:space="preserve">(b) </w:t>
      </w:r>
      <w:proofErr w:type="gramStart"/>
      <w:r w:rsidRPr="00910F4E">
        <w:t>drafting</w:t>
      </w:r>
      <w:proofErr w:type="gramEnd"/>
    </w:p>
    <w:p w:rsidR="00CF1039" w:rsidRPr="00910F4E" w:rsidRDefault="00CF1039" w:rsidP="00CF1039">
      <w:pPr>
        <w:pStyle w:val="Level1"/>
        <w:numPr>
          <w:ilvl w:val="0"/>
          <w:numId w:val="0"/>
        </w:numPr>
      </w:pPr>
      <w:r w:rsidRPr="00910F4E">
        <w:t xml:space="preserve">The committee notes that in item [14] of schedule 1 the reference to 'Clause 2.11.1 table, item 389. </w:t>
      </w:r>
      <w:proofErr w:type="gramStart"/>
      <w:r w:rsidRPr="00910F4E">
        <w:t>should</w:t>
      </w:r>
      <w:proofErr w:type="gramEnd"/>
      <w:r w:rsidRPr="00910F4E">
        <w:t xml:space="preserve"> presumably be a reference to 'clause 2.11.1, table, item 389'. The committee generally raises such matters on an advice-only basis in the interests of ensuring the highest quality of standards of drafting in legislative instruments in accordance with subsection 3(c) of the </w:t>
      </w:r>
      <w:r w:rsidRPr="00910F4E">
        <w:rPr>
          <w:i/>
        </w:rPr>
        <w:t>Legislative Instruments Act 2003</w:t>
      </w:r>
      <w:r w:rsidRPr="00910F4E">
        <w:t xml:space="preserve">, which states that one of its objects is 'encouraging high standards in the drafting of legislative instruments to promote their legal effectiveness, their clarity and their intelligibility to anticipated users' </w:t>
      </w:r>
      <w:r w:rsidRPr="00910F4E">
        <w:rPr>
          <w:b/>
        </w:rPr>
        <w:t>[</w:t>
      </w:r>
      <w:r w:rsidRPr="00910F4E">
        <w:t>t</w:t>
      </w:r>
      <w:r w:rsidRPr="00910F4E">
        <w:rPr>
          <w:b/>
        </w:rPr>
        <w:t>he committee drew the issue to the minister's attention]</w:t>
      </w:r>
      <w:r w:rsidRPr="00910F4E">
        <w:t>.</w:t>
      </w:r>
    </w:p>
    <w:p w:rsidR="00CF1039" w:rsidRPr="00910F4E" w:rsidRDefault="00CF1039" w:rsidP="000F073E">
      <w:pPr>
        <w:pStyle w:val="Level1"/>
        <w:numPr>
          <w:ilvl w:val="0"/>
          <w:numId w:val="0"/>
        </w:numPr>
        <w:spacing w:after="120"/>
        <w:rPr>
          <w:b/>
        </w:rPr>
      </w:pPr>
      <w:r w:rsidRPr="00910F4E">
        <w:rPr>
          <w:b/>
        </w:rPr>
        <w:t>MINISTER'S RESPONSE:</w:t>
      </w:r>
    </w:p>
    <w:p w:rsidR="00CF1039" w:rsidRPr="00910F4E" w:rsidRDefault="00CF1039" w:rsidP="00CF1039">
      <w:pPr>
        <w:pStyle w:val="Level1"/>
        <w:numPr>
          <w:ilvl w:val="0"/>
          <w:numId w:val="0"/>
        </w:numPr>
      </w:pPr>
      <w:r w:rsidRPr="00910F4E">
        <w:t>The minister advised that the amendment corrected a drafting error to include two words that had been omitted from the principal 2012 regulation. The inclusion of those words was included in the consultation for the original regulation. The minister further advised that the ES would be amended to provide further information on consultation.</w:t>
      </w:r>
    </w:p>
    <w:p w:rsidR="00CF1039" w:rsidRPr="00910F4E" w:rsidRDefault="00CF1039" w:rsidP="00CF1039">
      <w:pPr>
        <w:pStyle w:val="Level1"/>
        <w:numPr>
          <w:ilvl w:val="0"/>
          <w:numId w:val="0"/>
        </w:numPr>
      </w:pPr>
      <w:r w:rsidRPr="00910F4E">
        <w:lastRenderedPageBreak/>
        <w:t>The minister also noted the committee's advice in relation to the minor drafting matter and advised that it would be taken into consideration when drafting future instruments.</w:t>
      </w:r>
    </w:p>
    <w:p w:rsidR="00CF1039" w:rsidRPr="00910F4E" w:rsidRDefault="00CF1039" w:rsidP="000F073E">
      <w:pPr>
        <w:pStyle w:val="Level1"/>
        <w:numPr>
          <w:ilvl w:val="0"/>
          <w:numId w:val="0"/>
        </w:numPr>
        <w:spacing w:after="120"/>
        <w:rPr>
          <w:b/>
        </w:rPr>
      </w:pPr>
      <w:r w:rsidRPr="00910F4E">
        <w:rPr>
          <w:b/>
        </w:rPr>
        <w:t>COMMITTEE RESPONSE:</w:t>
      </w:r>
    </w:p>
    <w:p w:rsidR="00CF1039" w:rsidRPr="00910F4E" w:rsidRDefault="00CF1039" w:rsidP="00CF1039">
      <w:pPr>
        <w:rPr>
          <w:szCs w:val="26"/>
        </w:rPr>
      </w:pPr>
      <w:r w:rsidRPr="00910F4E">
        <w:rPr>
          <w:b/>
          <w:szCs w:val="26"/>
        </w:rPr>
        <w:t>The committee thanks the minster for his response and has concluded its interest in the matter</w:t>
      </w:r>
      <w:r w:rsidRPr="00910F4E">
        <w:rPr>
          <w:szCs w:val="26"/>
        </w:rPr>
        <w:t>.</w:t>
      </w:r>
    </w:p>
    <w:p w:rsidR="00CF1039" w:rsidRPr="00910F4E" w:rsidRDefault="00CF1039" w:rsidP="00CF1039">
      <w:pPr>
        <w:pStyle w:val="Heading3"/>
        <w:spacing w:before="600"/>
      </w:pPr>
      <w:r w:rsidRPr="00910F4E">
        <w:t>Clean Energy Amendment Regulation 2012 (No. 7) [Select Legislative Instrument 2012 No. 289] [F2012L02384]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Amends the Clean Energy Regulations 2011 to establish the liquid fuels Opt-in Scheme and make other amendments</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Clean Energy Act 2011</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Climate Change and Energy Efficiency</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Drafting</w:t>
      </w:r>
    </w:p>
    <w:p w:rsidR="00CF1039" w:rsidRPr="00910F4E" w:rsidRDefault="00CF1039" w:rsidP="000F073E">
      <w:pPr>
        <w:spacing w:after="120"/>
        <w:rPr>
          <w:szCs w:val="26"/>
        </w:rPr>
      </w:pPr>
      <w:r w:rsidRPr="00910F4E">
        <w:rPr>
          <w:szCs w:val="26"/>
        </w:rPr>
        <w:t>This instrument inserts a new Division 7 into the Clean Energy Regulations 2011, and contains a number of definitions. One of these is as follows:</w:t>
      </w:r>
    </w:p>
    <w:p w:rsidR="00CF1039" w:rsidRPr="00910F4E" w:rsidRDefault="00CF1039" w:rsidP="000F073E">
      <w:pPr>
        <w:pStyle w:val="Quote"/>
        <w:spacing w:after="120"/>
      </w:pPr>
      <w:proofErr w:type="gramStart"/>
      <w:r w:rsidRPr="00910F4E">
        <w:t>joint</w:t>
      </w:r>
      <w:proofErr w:type="gramEnd"/>
      <w:r w:rsidRPr="00910F4E">
        <w:t xml:space="preserve"> venture operator, of a GST joint venture, has the same meaning as in the </w:t>
      </w:r>
      <w:r w:rsidRPr="00910F4E">
        <w:rPr>
          <w:i/>
        </w:rPr>
        <w:t>Fuel Tax Act 2006</w:t>
      </w:r>
    </w:p>
    <w:p w:rsidR="00CF1039" w:rsidRPr="00910F4E" w:rsidRDefault="00CF1039" w:rsidP="00CF1039">
      <w:pPr>
        <w:rPr>
          <w:szCs w:val="26"/>
        </w:rPr>
      </w:pPr>
      <w:r w:rsidRPr="00910F4E">
        <w:rPr>
          <w:szCs w:val="26"/>
        </w:rPr>
        <w:t xml:space="preserve">The relevant definition in the </w:t>
      </w:r>
      <w:r w:rsidRPr="00910F4E">
        <w:rPr>
          <w:i/>
          <w:szCs w:val="26"/>
        </w:rPr>
        <w:t>Fuel Tax Act 2006</w:t>
      </w:r>
      <w:r w:rsidRPr="00910F4E">
        <w:rPr>
          <w:szCs w:val="26"/>
        </w:rPr>
        <w:t xml:space="preserve"> is that 'joint venture operator' has the meaning given by section 195-1 of the GST Act. In contrast, the instrument in other cases provides a more direct definition to the GST Act, such as for 'representative member, of a GST group', which has the meaning given by section 195-1 of the GST Act. The </w:t>
      </w:r>
      <w:r>
        <w:rPr>
          <w:szCs w:val="26"/>
        </w:rPr>
        <w:t xml:space="preserve">committee </w:t>
      </w:r>
      <w:r w:rsidRPr="00910F4E">
        <w:rPr>
          <w:szCs w:val="26"/>
        </w:rPr>
        <w:t xml:space="preserve">considers that it is unclear why divergent approaches have been taken in relation to these definitions </w:t>
      </w:r>
      <w:r w:rsidRPr="00910F4E">
        <w:rPr>
          <w:b/>
          <w:szCs w:val="26"/>
        </w:rPr>
        <w:t>[the committee sought further information from the parliamentary secretary]</w:t>
      </w:r>
      <w:r w:rsidRPr="00910F4E">
        <w:rPr>
          <w:szCs w:val="26"/>
        </w:rPr>
        <w:t>.</w:t>
      </w:r>
    </w:p>
    <w:p w:rsidR="00CF1039" w:rsidRPr="00910F4E" w:rsidRDefault="00CF1039" w:rsidP="000F073E">
      <w:pPr>
        <w:spacing w:after="120"/>
        <w:rPr>
          <w:b/>
          <w:szCs w:val="26"/>
        </w:rPr>
      </w:pPr>
      <w:r w:rsidRPr="00910F4E">
        <w:rPr>
          <w:b/>
          <w:szCs w:val="26"/>
        </w:rPr>
        <w:t>PARLIAMENTARY SECRETARY'S RESPONSE:</w:t>
      </w:r>
    </w:p>
    <w:p w:rsidR="00CF1039" w:rsidRPr="00910F4E" w:rsidRDefault="00CF1039" w:rsidP="00CF1039">
      <w:pPr>
        <w:rPr>
          <w:szCs w:val="26"/>
        </w:rPr>
      </w:pPr>
      <w:r w:rsidRPr="00910F4E">
        <w:rPr>
          <w:szCs w:val="26"/>
        </w:rPr>
        <w:t xml:space="preserve">The parliamentary secretary advised that a definition of 'joint venture operator' was not included when </w:t>
      </w:r>
      <w:r w:rsidRPr="00910F4E">
        <w:rPr>
          <w:i/>
          <w:sz w:val="24"/>
          <w:szCs w:val="24"/>
        </w:rPr>
        <w:t>Clean Energy Act 2011</w:t>
      </w:r>
      <w:r w:rsidRPr="00910F4E">
        <w:rPr>
          <w:sz w:val="24"/>
          <w:szCs w:val="24"/>
        </w:rPr>
        <w:t xml:space="preserve"> </w:t>
      </w:r>
      <w:r w:rsidRPr="00910F4E">
        <w:rPr>
          <w:szCs w:val="26"/>
        </w:rPr>
        <w:t xml:space="preserve">was made. As such, the term is defined by reference to the </w:t>
      </w:r>
      <w:r w:rsidRPr="00910F4E">
        <w:rPr>
          <w:i/>
          <w:szCs w:val="26"/>
        </w:rPr>
        <w:t>Fuel Tax Act</w:t>
      </w:r>
      <w:r w:rsidRPr="00910F4E">
        <w:rPr>
          <w:szCs w:val="26"/>
        </w:rPr>
        <w:t xml:space="preserve"> </w:t>
      </w:r>
      <w:r w:rsidRPr="00910F4E">
        <w:rPr>
          <w:i/>
          <w:szCs w:val="26"/>
        </w:rPr>
        <w:t>2006</w:t>
      </w:r>
      <w:r w:rsidRPr="00910F4E">
        <w:rPr>
          <w:szCs w:val="26"/>
        </w:rPr>
        <w:t xml:space="preserve">. This definition had since been added to the </w:t>
      </w:r>
      <w:r w:rsidRPr="00910F4E">
        <w:rPr>
          <w:i/>
          <w:sz w:val="24"/>
          <w:szCs w:val="24"/>
        </w:rPr>
        <w:t>Clean Energy Act 2011</w:t>
      </w:r>
      <w:r w:rsidRPr="00910F4E">
        <w:rPr>
          <w:sz w:val="24"/>
          <w:szCs w:val="24"/>
        </w:rPr>
        <w:t xml:space="preserve"> </w:t>
      </w:r>
      <w:r w:rsidRPr="00910F4E">
        <w:rPr>
          <w:szCs w:val="26"/>
        </w:rPr>
        <w:t xml:space="preserve">and a future amendment to the regulation could be used to refer directly to that Act. The definition of 'representative member' is referenced to the </w:t>
      </w:r>
      <w:r w:rsidRPr="00910F4E">
        <w:rPr>
          <w:i/>
          <w:szCs w:val="26"/>
        </w:rPr>
        <w:t>A New Tax System (Goods and Services Tax) Act 1999</w:t>
      </w:r>
      <w:r w:rsidRPr="00910F4E">
        <w:rPr>
          <w:szCs w:val="26"/>
        </w:rPr>
        <w:t xml:space="preserve"> as it is not contained in either the </w:t>
      </w:r>
      <w:r w:rsidRPr="00910F4E">
        <w:rPr>
          <w:i/>
          <w:sz w:val="24"/>
          <w:szCs w:val="24"/>
        </w:rPr>
        <w:t xml:space="preserve">Clean Energy Act 2011 </w:t>
      </w:r>
      <w:r w:rsidRPr="00910F4E">
        <w:rPr>
          <w:szCs w:val="26"/>
        </w:rPr>
        <w:t xml:space="preserve">or the </w:t>
      </w:r>
      <w:r w:rsidRPr="00910F4E">
        <w:rPr>
          <w:i/>
          <w:szCs w:val="26"/>
        </w:rPr>
        <w:t>Fuel Tax Act 2006</w:t>
      </w:r>
      <w:r w:rsidRPr="00910F4E">
        <w:rPr>
          <w:szCs w:val="26"/>
        </w:rPr>
        <w:t>.</w:t>
      </w:r>
    </w:p>
    <w:p w:rsidR="00CF1039" w:rsidRPr="00910F4E" w:rsidRDefault="00CF1039" w:rsidP="000F073E">
      <w:pPr>
        <w:spacing w:after="120"/>
        <w:rPr>
          <w:b/>
          <w:szCs w:val="26"/>
        </w:rPr>
      </w:pPr>
      <w:r w:rsidRPr="00910F4E">
        <w:rPr>
          <w:b/>
          <w:szCs w:val="26"/>
        </w:rPr>
        <w:t>COMMITTEE RESPONSE:</w:t>
      </w:r>
    </w:p>
    <w:p w:rsidR="00CF1039" w:rsidRPr="00910F4E" w:rsidRDefault="00CF1039" w:rsidP="000F073E">
      <w:pPr>
        <w:rPr>
          <w:b/>
          <w:sz w:val="28"/>
        </w:rPr>
      </w:pPr>
      <w:r w:rsidRPr="00910F4E">
        <w:rPr>
          <w:b/>
          <w:szCs w:val="26"/>
        </w:rPr>
        <w:t>The committee thanks the parliamentary secretary for her response and has concluded its interest in the matter</w:t>
      </w:r>
      <w:r w:rsidRPr="00910F4E">
        <w:rPr>
          <w:szCs w:val="26"/>
        </w:rPr>
        <w:t>.</w:t>
      </w:r>
      <w:r w:rsidRPr="00910F4E">
        <w:br w:type="page"/>
      </w:r>
    </w:p>
    <w:p w:rsidR="00CF1039" w:rsidRPr="00910F4E" w:rsidRDefault="00CF1039" w:rsidP="00CF1039">
      <w:pPr>
        <w:pStyle w:val="Heading3"/>
      </w:pPr>
      <w:r w:rsidRPr="00910F4E">
        <w:lastRenderedPageBreak/>
        <w:t>Aviation Transport Security Amendment Regulation 2012 (No. 6) [Select Legislative Instrument 2012 No. 304] [F2012L02424]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Makes a number of amendments to the principal regulations</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Aviation Transport Security Act 2004</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Infrastructure and Transport</w:t>
            </w:r>
          </w:p>
        </w:tc>
      </w:tr>
    </w:tbl>
    <w:p w:rsidR="00CF1039" w:rsidRPr="00910F4E" w:rsidRDefault="00CF1039" w:rsidP="000F073E">
      <w:pPr>
        <w:spacing w:before="120"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No information provided regarding consultation</w:t>
      </w:r>
    </w:p>
    <w:p w:rsidR="00CF1039" w:rsidRPr="00910F4E" w:rsidRDefault="00CF1039" w:rsidP="00CF1039">
      <w:r w:rsidRPr="00910F4E">
        <w:rPr>
          <w:szCs w:val="26"/>
        </w:rPr>
        <w:t xml:space="preserve">Section 17 of the </w:t>
      </w:r>
      <w:r w:rsidRPr="00910F4E">
        <w:rPr>
          <w:i/>
          <w:szCs w:val="26"/>
        </w:rPr>
        <w:t xml:space="preserve">Legislative Instruments Act 2003 </w:t>
      </w:r>
      <w:r w:rsidRPr="00910F4E">
        <w:rPr>
          <w:szCs w:val="26"/>
        </w:rPr>
        <w:t xml:space="preserve">directs a rule-maker to be satisfied that appropriate consultation, as is reasonably practicable, has been undertaken in relation to a proposed instrument, particularly where that instrument is likely to have an effect on business. Section 18 of the Act,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the instrument contains no reference to consultation </w:t>
      </w:r>
      <w:r w:rsidRPr="00910F4E">
        <w:rPr>
          <w:b/>
          <w:szCs w:val="26"/>
        </w:rPr>
        <w:t>[t</w:t>
      </w:r>
      <w:r w:rsidRPr="00910F4E">
        <w:rPr>
          <w:b/>
        </w:rPr>
        <w:t xml:space="preserve">he committee sought further information from the minister and requested that the ES be updated in accordance with the requirements of the </w:t>
      </w:r>
      <w:r w:rsidRPr="00910F4E">
        <w:rPr>
          <w:b/>
          <w:i/>
        </w:rPr>
        <w:t>Legislative Instruments Act 2003</w:t>
      </w:r>
      <w:r w:rsidRPr="00910F4E">
        <w:rPr>
          <w:b/>
        </w:rPr>
        <w:t>]</w:t>
      </w:r>
      <w:r w:rsidRPr="00910F4E">
        <w:t>.</w:t>
      </w:r>
    </w:p>
    <w:p w:rsidR="00CF1039" w:rsidRPr="00910F4E" w:rsidRDefault="00CF1039" w:rsidP="000F073E">
      <w:pPr>
        <w:pStyle w:val="Level1"/>
        <w:numPr>
          <w:ilvl w:val="0"/>
          <w:numId w:val="0"/>
        </w:numPr>
        <w:spacing w:after="120"/>
        <w:rPr>
          <w:b/>
        </w:rPr>
      </w:pPr>
      <w:r w:rsidRPr="00910F4E">
        <w:rPr>
          <w:b/>
        </w:rPr>
        <w:t>MINISTER'S RESPONSE:</w:t>
      </w:r>
    </w:p>
    <w:p w:rsidR="00CF1039" w:rsidRPr="00910F4E" w:rsidRDefault="00CF1039" w:rsidP="00CF1039">
      <w:pPr>
        <w:pStyle w:val="Level1"/>
        <w:numPr>
          <w:ilvl w:val="0"/>
          <w:numId w:val="0"/>
        </w:numPr>
      </w:pPr>
      <w:r w:rsidRPr="00910F4E">
        <w:t>The minister advised that consultation was undertaken through the department's Regional Industry Consultative Meeting, Aviation Security Training Advisory Group and the Employee Consultative Forum on matters relating to the operational period of regional and remote airports, and the removal of the requirement for screening officers to hold state/territory security guard licences. Meetings were held with representatives of aviation industry bodies and employment associations between December 2010 and August 2012. Consultation was not undertaken for the remaining parts of the amendments as they were considered to be minor or machinery in nature. The minister further advised that the ES had been amended to include information on the consultation undertaken on this regulation.</w:t>
      </w:r>
    </w:p>
    <w:p w:rsidR="00CF1039" w:rsidRPr="00910F4E" w:rsidRDefault="00CF1039" w:rsidP="000F073E">
      <w:pPr>
        <w:pStyle w:val="Level1"/>
        <w:numPr>
          <w:ilvl w:val="0"/>
          <w:numId w:val="0"/>
        </w:numPr>
        <w:spacing w:after="120"/>
        <w:rPr>
          <w:b/>
        </w:rPr>
      </w:pPr>
      <w:r w:rsidRPr="00910F4E">
        <w:rPr>
          <w:b/>
        </w:rPr>
        <w:t>COMMITTEE RESPONSE:</w:t>
      </w:r>
    </w:p>
    <w:p w:rsidR="00CF1039" w:rsidRPr="00910F4E" w:rsidRDefault="00CF1039" w:rsidP="00CF1039">
      <w:pPr>
        <w:rPr>
          <w:szCs w:val="26"/>
        </w:rPr>
      </w:pPr>
      <w:r w:rsidRPr="00910F4E">
        <w:rPr>
          <w:b/>
          <w:szCs w:val="26"/>
        </w:rPr>
        <w:t>The committee thanks the minster for his response and has concluded its interest in the matter</w:t>
      </w:r>
      <w:r w:rsidRPr="00910F4E">
        <w:rPr>
          <w:szCs w:val="26"/>
        </w:rPr>
        <w:t>.</w:t>
      </w:r>
    </w:p>
    <w:p w:rsidR="00CF1039" w:rsidRPr="00910F4E" w:rsidRDefault="00CF1039" w:rsidP="00CF1039">
      <w:pPr>
        <w:spacing w:after="0"/>
        <w:jc w:val="left"/>
        <w:rPr>
          <w:b/>
          <w:sz w:val="28"/>
        </w:rPr>
      </w:pPr>
      <w:r w:rsidRPr="00910F4E">
        <w:br w:type="page"/>
      </w:r>
    </w:p>
    <w:p w:rsidR="00CF1039" w:rsidRPr="00910F4E" w:rsidRDefault="00CF1039" w:rsidP="00CF1039">
      <w:pPr>
        <w:pStyle w:val="Heading3"/>
      </w:pPr>
      <w:r w:rsidRPr="00910F4E">
        <w:lastRenderedPageBreak/>
        <w:t>ASQA Authorised Officer Requirements [F2012L02326]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 xml:space="preserve">Specifies the experience, training and qualification requirements for persons to be appointed as authorised officers under the </w:t>
            </w:r>
            <w:r w:rsidRPr="00910F4E">
              <w:rPr>
                <w:rFonts w:ascii="Times New Roman" w:hAnsi="Times New Roman"/>
                <w:i/>
                <w:sz w:val="24"/>
                <w:szCs w:val="24"/>
              </w:rPr>
              <w:t>National Vocational Education and Training Regulator Act 2011</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National Vocational Education and Training Regulator Act 2011</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Industry, Innovation, Science, Research and Tertiary Education</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Unclear term/criteria</w:t>
      </w:r>
    </w:p>
    <w:p w:rsidR="00CF1039" w:rsidRPr="00910F4E" w:rsidRDefault="00CF1039" w:rsidP="00CF1039">
      <w:pPr>
        <w:rPr>
          <w:szCs w:val="26"/>
        </w:rPr>
      </w:pPr>
      <w:r w:rsidRPr="00910F4E">
        <w:rPr>
          <w:szCs w:val="26"/>
        </w:rPr>
        <w:t xml:space="preserve">The instrument specifies the experience, training and qualification requirements for persons to be appointed as authorised officers under the </w:t>
      </w:r>
      <w:r w:rsidRPr="00910F4E">
        <w:rPr>
          <w:i/>
          <w:szCs w:val="26"/>
        </w:rPr>
        <w:t>National Vocational Education and Training Regulator Act 2011</w:t>
      </w:r>
      <w:r w:rsidRPr="00910F4E">
        <w:rPr>
          <w:szCs w:val="26"/>
        </w:rPr>
        <w:t xml:space="preserve">. Item 6(1) states that a person will satisfy the experience requirements if they are able to demonstrate previous experience in specified roles 'for a length of time deemed acceptable by the Chief Commissioner', and the ES states that the relevant length of time is to be determined by the Chief Commissioner. It is thus not clear to the committee in what manner and form the Chief Commissioner will deem or determine the relevant length of time, or how prospective authorised officers will be made aware of this criterion. The committee's usual expectation with regard to instruments that establish criteria guiding administrative decision making is that such criteria are clear and objectively ascertainable on the face of an instrument and </w:t>
      </w:r>
      <w:proofErr w:type="gramStart"/>
      <w:r w:rsidRPr="00910F4E">
        <w:rPr>
          <w:szCs w:val="26"/>
        </w:rPr>
        <w:t>its</w:t>
      </w:r>
      <w:proofErr w:type="gramEnd"/>
      <w:r w:rsidRPr="00910F4E">
        <w:rPr>
          <w:szCs w:val="26"/>
        </w:rPr>
        <w:t xml:space="preserve"> supporting ES </w:t>
      </w:r>
      <w:r w:rsidRPr="00910F4E">
        <w:rPr>
          <w:b/>
          <w:szCs w:val="26"/>
        </w:rPr>
        <w:t>[the committee sought further information from the minister]</w:t>
      </w:r>
      <w:r w:rsidRPr="00910F4E">
        <w:rPr>
          <w:szCs w:val="26"/>
        </w:rPr>
        <w:t>.</w:t>
      </w:r>
    </w:p>
    <w:p w:rsidR="00CF1039" w:rsidRPr="00910F4E" w:rsidRDefault="00CF1039" w:rsidP="000F073E">
      <w:pPr>
        <w:pStyle w:val="Level1"/>
        <w:numPr>
          <w:ilvl w:val="0"/>
          <w:numId w:val="0"/>
        </w:numPr>
        <w:spacing w:after="120"/>
        <w:rPr>
          <w:b/>
        </w:rPr>
      </w:pPr>
      <w:r w:rsidRPr="00910F4E">
        <w:rPr>
          <w:b/>
        </w:rPr>
        <w:t>MINISTER'S RESPONSE:</w:t>
      </w:r>
    </w:p>
    <w:p w:rsidR="00CF1039" w:rsidRPr="00910F4E" w:rsidRDefault="00CF1039" w:rsidP="00CF1039">
      <w:pPr>
        <w:pStyle w:val="Level1"/>
        <w:numPr>
          <w:ilvl w:val="0"/>
          <w:numId w:val="0"/>
        </w:numPr>
      </w:pPr>
      <w:r w:rsidRPr="00910F4E">
        <w:t>The minister advised that, in a fluctuating job market, the Chief Commissioner needs a degree of flexibility to determine the length of experience required for specified roles. Based on the recent experience of the regulator, a minimum of two years full time experience in an investigative or statutory compliance role is required. The Chief Commissioner intended to publish the acceptable length of time in the relevant operational and recruitment material.</w:t>
      </w:r>
    </w:p>
    <w:p w:rsidR="00CF1039" w:rsidRPr="00910F4E" w:rsidRDefault="00CF1039" w:rsidP="000F073E">
      <w:pPr>
        <w:pStyle w:val="Level1"/>
        <w:numPr>
          <w:ilvl w:val="0"/>
          <w:numId w:val="0"/>
        </w:numPr>
        <w:spacing w:after="120"/>
        <w:rPr>
          <w:b/>
        </w:rPr>
      </w:pPr>
      <w:r w:rsidRPr="00910F4E">
        <w:rPr>
          <w:b/>
        </w:rPr>
        <w:t>COMMITTEE RESPONSE:</w:t>
      </w:r>
    </w:p>
    <w:p w:rsidR="00CF1039" w:rsidRPr="00910F4E" w:rsidRDefault="00CF1039" w:rsidP="00CF1039">
      <w:pPr>
        <w:rPr>
          <w:szCs w:val="26"/>
        </w:rPr>
      </w:pPr>
      <w:r w:rsidRPr="00910F4E">
        <w:rPr>
          <w:b/>
          <w:szCs w:val="26"/>
        </w:rPr>
        <w:t>The committee thanks the minister for his response and has concluded its interest in the matter</w:t>
      </w:r>
      <w:r w:rsidRPr="00910F4E">
        <w:rPr>
          <w:szCs w:val="26"/>
        </w:rPr>
        <w:t>.</w:t>
      </w:r>
    </w:p>
    <w:p w:rsidR="00CF1039" w:rsidRPr="00910F4E" w:rsidRDefault="00CF1039" w:rsidP="00CF1039">
      <w:pPr>
        <w:spacing w:after="0"/>
        <w:jc w:val="left"/>
        <w:rPr>
          <w:b/>
          <w:sz w:val="28"/>
        </w:rPr>
      </w:pPr>
      <w:r w:rsidRPr="00910F4E">
        <w:br w:type="page"/>
      </w:r>
    </w:p>
    <w:p w:rsidR="00CF1039" w:rsidRPr="00910F4E" w:rsidRDefault="00CF1039" w:rsidP="00CF1039">
      <w:pPr>
        <w:pStyle w:val="Heading3"/>
      </w:pPr>
      <w:r w:rsidRPr="00910F4E">
        <w:lastRenderedPageBreak/>
        <w:t>Family Law Amendment Rules 2012 (No. 2) [Select Legislative Instrument 2012 No. 331] [F2012L02577]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Purpose</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Amends the Family Law Rules 2004</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b/>
                <w:sz w:val="24"/>
                <w:szCs w:val="24"/>
              </w:rPr>
              <w:t>Last day to disallow</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15 May 2013</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Authorising legislation</w:t>
            </w:r>
          </w:p>
        </w:tc>
        <w:tc>
          <w:tcPr>
            <w:tcW w:w="6520" w:type="dxa"/>
          </w:tcPr>
          <w:p w:rsidR="00CF1039" w:rsidRPr="00910F4E" w:rsidRDefault="00CF1039" w:rsidP="00CF1039">
            <w:pPr>
              <w:pStyle w:val="letterheadbody"/>
              <w:spacing w:line="264" w:lineRule="auto"/>
              <w:ind w:left="0"/>
              <w:rPr>
                <w:rFonts w:ascii="Times New Roman" w:hAnsi="Times New Roman"/>
                <w:i/>
                <w:sz w:val="24"/>
                <w:szCs w:val="24"/>
              </w:rPr>
            </w:pPr>
            <w:r w:rsidRPr="00910F4E">
              <w:rPr>
                <w:rFonts w:ascii="Times New Roman" w:hAnsi="Times New Roman"/>
                <w:i/>
                <w:sz w:val="24"/>
                <w:szCs w:val="24"/>
              </w:rPr>
              <w:t>Family Law Act 1975</w:t>
            </w:r>
          </w:p>
        </w:tc>
      </w:tr>
      <w:tr w:rsidR="00CF1039" w:rsidRPr="00910F4E" w:rsidTr="00CF1039">
        <w:tc>
          <w:tcPr>
            <w:tcW w:w="2552" w:type="dxa"/>
          </w:tcPr>
          <w:p w:rsidR="00CF1039" w:rsidRPr="00910F4E" w:rsidRDefault="00CF1039" w:rsidP="00CF1039">
            <w:pPr>
              <w:pStyle w:val="letterheadbody"/>
              <w:spacing w:line="264" w:lineRule="auto"/>
              <w:ind w:left="0"/>
              <w:rPr>
                <w:rFonts w:ascii="Times New Roman" w:hAnsi="Times New Roman"/>
                <w:b/>
                <w:sz w:val="24"/>
                <w:szCs w:val="24"/>
              </w:rPr>
            </w:pPr>
            <w:r w:rsidRPr="00910F4E">
              <w:rPr>
                <w:rFonts w:ascii="Times New Roman" w:hAnsi="Times New Roman"/>
                <w:b/>
                <w:sz w:val="24"/>
                <w:szCs w:val="24"/>
              </w:rPr>
              <w:t>Department</w:t>
            </w:r>
          </w:p>
        </w:tc>
        <w:tc>
          <w:tcPr>
            <w:tcW w:w="6520" w:type="dxa"/>
          </w:tcPr>
          <w:p w:rsidR="00CF1039" w:rsidRPr="00910F4E" w:rsidRDefault="00CF1039" w:rsidP="00CF1039">
            <w:pPr>
              <w:pStyle w:val="letterheadbody"/>
              <w:spacing w:line="264" w:lineRule="auto"/>
              <w:ind w:left="0"/>
              <w:rPr>
                <w:rFonts w:ascii="Times New Roman" w:hAnsi="Times New Roman"/>
                <w:sz w:val="24"/>
                <w:szCs w:val="24"/>
              </w:rPr>
            </w:pPr>
            <w:r w:rsidRPr="00910F4E">
              <w:rPr>
                <w:rFonts w:ascii="Times New Roman" w:hAnsi="Times New Roman"/>
                <w:sz w:val="24"/>
                <w:szCs w:val="24"/>
              </w:rPr>
              <w:t>Attorney-General's</w:t>
            </w:r>
          </w:p>
        </w:tc>
      </w:tr>
    </w:tbl>
    <w:p w:rsidR="00CF1039" w:rsidRPr="00910F4E" w:rsidRDefault="00CF1039" w:rsidP="00CF1039">
      <w:pPr>
        <w:spacing w:after="0"/>
        <w:rPr>
          <w:szCs w:val="26"/>
        </w:rPr>
      </w:pPr>
    </w:p>
    <w:p w:rsidR="00CF1039" w:rsidRPr="00910F4E" w:rsidRDefault="00CF1039" w:rsidP="00CF1039">
      <w:pPr>
        <w:spacing w:after="0"/>
        <w:rPr>
          <w:b/>
          <w:szCs w:val="26"/>
        </w:rPr>
      </w:pPr>
      <w:r w:rsidRPr="00910F4E">
        <w:rPr>
          <w:b/>
          <w:szCs w:val="26"/>
        </w:rPr>
        <w:t>ISSUE:</w:t>
      </w:r>
    </w:p>
    <w:p w:rsidR="00CF1039" w:rsidRPr="00910F4E" w:rsidRDefault="00CF1039" w:rsidP="00CF1039">
      <w:pPr>
        <w:pStyle w:val="Heading4"/>
        <w:numPr>
          <w:ilvl w:val="3"/>
          <w:numId w:val="21"/>
        </w:numPr>
        <w:spacing w:before="120" w:after="120"/>
      </w:pPr>
      <w:r w:rsidRPr="00910F4E">
        <w:t>Unclear basis for calculation of fee increase</w:t>
      </w:r>
    </w:p>
    <w:p w:rsidR="00CF1039" w:rsidRPr="00910F4E" w:rsidRDefault="00CF1039" w:rsidP="00CF1039">
      <w:pPr>
        <w:pStyle w:val="Level1"/>
        <w:numPr>
          <w:ilvl w:val="0"/>
          <w:numId w:val="0"/>
        </w:numPr>
      </w:pPr>
      <w:r w:rsidRPr="00910F4E">
        <w:t xml:space="preserve">The instrument introduces a uniform increase of 2.7 per cent to all items in the Itemised Scale of Costs. While the ES states that the increase is 'in conformity with the increase approved nationally by all superior courts', it does not explain the basis on which the increase has been set or calculated </w:t>
      </w:r>
      <w:r w:rsidRPr="00910F4E">
        <w:rPr>
          <w:b/>
        </w:rPr>
        <w:t>[the committee sought further information from the Chief Justice]</w:t>
      </w:r>
      <w:r w:rsidRPr="00910F4E">
        <w:t>.</w:t>
      </w:r>
    </w:p>
    <w:p w:rsidR="00CF1039" w:rsidRPr="00910F4E" w:rsidRDefault="00CF1039" w:rsidP="000F073E">
      <w:pPr>
        <w:pStyle w:val="Level1"/>
        <w:numPr>
          <w:ilvl w:val="0"/>
          <w:numId w:val="0"/>
        </w:numPr>
        <w:spacing w:after="120"/>
        <w:rPr>
          <w:b/>
        </w:rPr>
      </w:pPr>
      <w:r w:rsidRPr="00910F4E">
        <w:rPr>
          <w:b/>
        </w:rPr>
        <w:t>CHIEF JUSTICE'S RESPONSE:</w:t>
      </w:r>
    </w:p>
    <w:p w:rsidR="00CF1039" w:rsidRPr="00910F4E" w:rsidRDefault="00CF1039" w:rsidP="00CF1039">
      <w:pPr>
        <w:pStyle w:val="Level1"/>
        <w:numPr>
          <w:ilvl w:val="0"/>
          <w:numId w:val="0"/>
        </w:numPr>
      </w:pPr>
      <w:r w:rsidRPr="00910F4E">
        <w:t>The Chief Justice advised that, consistent with the practice adopted in previous years, the Itemised Scale of Costs increases were in accordance with the recommendation of the Joint Costs Advisory Committee (JCAC), consistent with the practice adopted by the High Court, Federal Court and Family Court. The Chief Justice noted that it was difficult to include information regarding the basis for the increase to the Itemised Scale of Costs as this was a relatively complex equation, and also that the Itemised Scale of Costs did not equate to a fee, levy or charge such as would generally attract the interest of the committee.</w:t>
      </w:r>
    </w:p>
    <w:p w:rsidR="00CF1039" w:rsidRPr="00910F4E" w:rsidRDefault="00CF1039" w:rsidP="000F073E">
      <w:pPr>
        <w:pStyle w:val="Level1"/>
        <w:numPr>
          <w:ilvl w:val="0"/>
          <w:numId w:val="0"/>
        </w:numPr>
        <w:spacing w:after="120"/>
        <w:rPr>
          <w:b/>
        </w:rPr>
      </w:pPr>
      <w:r w:rsidRPr="00910F4E">
        <w:rPr>
          <w:b/>
        </w:rPr>
        <w:t>COMMITTEE RESPONSE:</w:t>
      </w:r>
    </w:p>
    <w:p w:rsidR="00CF1039" w:rsidRPr="00910F4E" w:rsidRDefault="00CF1039" w:rsidP="00CF1039">
      <w:pPr>
        <w:pStyle w:val="Level1"/>
        <w:numPr>
          <w:ilvl w:val="0"/>
          <w:numId w:val="0"/>
        </w:numPr>
        <w:rPr>
          <w:b/>
        </w:rPr>
      </w:pPr>
      <w:r w:rsidRPr="00910F4E">
        <w:rPr>
          <w:b/>
        </w:rPr>
        <w:t xml:space="preserve">The committee thanks the Chief Justice for her response and has concluded its interest in the matter. </w:t>
      </w:r>
    </w:p>
    <w:p w:rsidR="00CF1039" w:rsidRPr="00910F4E" w:rsidRDefault="00CF1039" w:rsidP="00CF1039">
      <w:pPr>
        <w:pStyle w:val="Level1"/>
        <w:numPr>
          <w:ilvl w:val="0"/>
          <w:numId w:val="0"/>
        </w:numPr>
        <w:rPr>
          <w:b/>
        </w:rPr>
      </w:pPr>
      <w:r w:rsidRPr="00910F4E">
        <w:rPr>
          <w:b/>
        </w:rPr>
        <w:t>However, the committee notes that the inclusion of information in an ES regarding the basis of changes (particularly increases) to a fee, levy or charge (or, indeed, any administrative, regulatory or other scale or schedule which would ultimately act as the basis for imposing or calculating a cost) allows stakeholders to easily ascertain the basis for assumed costs, and generally improves the accessibility and intelligibility of explanatory material accompanying delegated legislation. As in most respects, the committee does not generally expect a high level of detail in ESs, but requires only a relatively brief description that effectively explains the purpose and operation of the instrument.</w:t>
      </w:r>
    </w:p>
    <w:p w:rsidR="000F073E" w:rsidRDefault="000F073E" w:rsidP="00325264">
      <w:pPr>
        <w:sectPr w:rsidR="000F073E" w:rsidSect="00CF103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51"/>
          <w:cols w:space="708"/>
          <w:titlePg/>
          <w:docGrid w:linePitch="360"/>
        </w:sectPr>
      </w:pPr>
    </w:p>
    <w:p w:rsidR="000F073E" w:rsidRDefault="000F073E" w:rsidP="000F073E">
      <w:pPr>
        <w:pStyle w:val="Heading1"/>
        <w:tabs>
          <w:tab w:val="left" w:pos="284"/>
        </w:tabs>
      </w:pPr>
      <w:r>
        <w:lastRenderedPageBreak/>
        <w:t>Appendix 1</w:t>
      </w:r>
    </w:p>
    <w:p w:rsidR="000F073E" w:rsidRDefault="000F073E" w:rsidP="000F073E">
      <w:pPr>
        <w:pStyle w:val="Heading2"/>
        <w:tabs>
          <w:tab w:val="left" w:pos="284"/>
        </w:tabs>
      </w:pPr>
      <w:r>
        <w:t>Index of instruments scrutinised</w:t>
      </w:r>
    </w:p>
    <w:p w:rsidR="000F073E" w:rsidRDefault="000F073E" w:rsidP="000F073E">
      <w:pPr>
        <w:tabs>
          <w:tab w:val="left" w:pos="284"/>
        </w:tabs>
      </w:pPr>
      <w:r>
        <w:t xml:space="preserve">The following instruments were considered by the committee at its meeting on </w:t>
      </w:r>
      <w:r>
        <w:rPr>
          <w:b/>
        </w:rPr>
        <w:t>14 March 2013</w:t>
      </w:r>
      <w:r>
        <w:t>.</w:t>
      </w:r>
    </w:p>
    <w:p w:rsidR="000F073E" w:rsidRDefault="000F073E" w:rsidP="000F073E">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7"/>
      </w:r>
      <w:r w:rsidRPr="005B5F6E">
        <w:t xml:space="preserve"> Instruments may be located on FRLI by entering the relevant FRLI number into the FRLI search field (the FRLI number is shown in square brackets after the name of each instrument listed below).</w:t>
      </w:r>
    </w:p>
    <w:p w:rsidR="000F073E" w:rsidRPr="00C45C72" w:rsidRDefault="000F073E" w:rsidP="000F073E">
      <w:pPr>
        <w:pStyle w:val="Heading3"/>
        <w:tabs>
          <w:tab w:val="left" w:pos="284"/>
        </w:tabs>
        <w:spacing w:before="360" w:after="360"/>
        <w:jc w:val="center"/>
        <w:rPr>
          <w:u w:val="single"/>
        </w:rPr>
      </w:pPr>
      <w:r w:rsidRPr="00C45C72">
        <w:rPr>
          <w:u w:val="single"/>
        </w:rPr>
        <w:t>Instruments received week ending 22 February 2013</w:t>
      </w:r>
    </w:p>
    <w:p w:rsidR="000F073E" w:rsidRPr="00C45C72" w:rsidRDefault="000F073E" w:rsidP="000F073E">
      <w:pPr>
        <w:pStyle w:val="Heading4"/>
        <w:numPr>
          <w:ilvl w:val="3"/>
          <w:numId w:val="21"/>
        </w:numPr>
        <w:tabs>
          <w:tab w:val="left" w:pos="284"/>
        </w:tabs>
        <w:spacing w:after="120"/>
        <w:rPr>
          <w:sz w:val="24"/>
          <w:szCs w:val="24"/>
        </w:rPr>
      </w:pPr>
      <w:r w:rsidRPr="00C45C72">
        <w:rPr>
          <w:sz w:val="24"/>
          <w:szCs w:val="24"/>
        </w:rPr>
        <w:t>A New Tax System (Goods and Services Tax) Act 1999</w:t>
      </w:r>
    </w:p>
    <w:p w:rsidR="000F073E" w:rsidRPr="00654C33" w:rsidRDefault="000F073E" w:rsidP="000F073E">
      <w:pPr>
        <w:spacing w:after="60"/>
        <w:jc w:val="left"/>
        <w:rPr>
          <w:color w:val="000000"/>
          <w:sz w:val="22"/>
          <w:szCs w:val="22"/>
        </w:rPr>
      </w:pPr>
      <w:r w:rsidRPr="00654C33">
        <w:rPr>
          <w:color w:val="000000"/>
          <w:sz w:val="22"/>
          <w:szCs w:val="22"/>
        </w:rPr>
        <w:t>A New Tax System (Goods and Services Tax) Amendment Regulation 2013 (No. 1) [Select Legislative Instrument 2013 No. 6] [F2013L00200]</w:t>
      </w:r>
    </w:p>
    <w:p w:rsidR="000F073E" w:rsidRPr="00654C33" w:rsidRDefault="000F073E" w:rsidP="000F073E">
      <w:pPr>
        <w:spacing w:before="60" w:after="60"/>
        <w:jc w:val="left"/>
        <w:rPr>
          <w:color w:val="000000"/>
          <w:sz w:val="22"/>
          <w:szCs w:val="22"/>
        </w:rPr>
      </w:pPr>
      <w:r w:rsidRPr="00654C33">
        <w:rPr>
          <w:color w:val="000000"/>
          <w:sz w:val="22"/>
          <w:szCs w:val="22"/>
        </w:rPr>
        <w:t>A New Tax System (Goods and Services Tax) Amendment Regulation 2013 (No. 2) [Select Legislative Instrument 2013 No. 7] [F2013L00202]</w:t>
      </w:r>
    </w:p>
    <w:p w:rsidR="000F073E" w:rsidRPr="00C45C72" w:rsidRDefault="000F073E" w:rsidP="000F073E">
      <w:pPr>
        <w:tabs>
          <w:tab w:val="left" w:pos="284"/>
        </w:tabs>
        <w:spacing w:before="120" w:after="120"/>
        <w:ind w:right="-330"/>
        <w:rPr>
          <w:i/>
          <w:sz w:val="24"/>
          <w:szCs w:val="24"/>
        </w:rPr>
      </w:pPr>
      <w:r w:rsidRPr="00C45C72">
        <w:rPr>
          <w:b/>
          <w:i/>
          <w:sz w:val="24"/>
          <w:szCs w:val="24"/>
        </w:rPr>
        <w:t>Appropriation Act (No. 1) 2010-2011</w:t>
      </w:r>
    </w:p>
    <w:p w:rsidR="000F073E" w:rsidRPr="00654C33" w:rsidRDefault="000F073E" w:rsidP="000F073E">
      <w:pPr>
        <w:tabs>
          <w:tab w:val="left" w:pos="284"/>
        </w:tabs>
        <w:spacing w:after="60"/>
        <w:jc w:val="left"/>
        <w:rPr>
          <w:color w:val="000000"/>
          <w:sz w:val="22"/>
          <w:szCs w:val="22"/>
        </w:rPr>
      </w:pPr>
      <w:r w:rsidRPr="00654C33">
        <w:rPr>
          <w:color w:val="000000"/>
          <w:sz w:val="22"/>
          <w:szCs w:val="22"/>
        </w:rPr>
        <w:t>Determination to Reduce Appropriations (No. 5 of 2012-2013) [F2013L00207]</w:t>
      </w:r>
    </w:p>
    <w:p w:rsidR="000F073E" w:rsidRPr="00C45C72" w:rsidRDefault="000F073E" w:rsidP="000F073E">
      <w:pPr>
        <w:tabs>
          <w:tab w:val="left" w:pos="284"/>
        </w:tabs>
        <w:spacing w:before="120" w:after="120"/>
        <w:ind w:right="-46"/>
        <w:rPr>
          <w:sz w:val="24"/>
          <w:szCs w:val="24"/>
        </w:rPr>
      </w:pPr>
      <w:r w:rsidRPr="00C45C72">
        <w:rPr>
          <w:b/>
          <w:i/>
          <w:sz w:val="24"/>
          <w:szCs w:val="24"/>
        </w:rPr>
        <w:t>Australian Prudential Regulation Authority Act 1998</w:t>
      </w:r>
    </w:p>
    <w:p w:rsidR="000F073E" w:rsidRPr="00654C33" w:rsidRDefault="000F073E" w:rsidP="000F073E">
      <w:pPr>
        <w:tabs>
          <w:tab w:val="left" w:pos="284"/>
        </w:tabs>
        <w:spacing w:after="60"/>
        <w:ind w:right="-45"/>
        <w:jc w:val="left"/>
        <w:rPr>
          <w:sz w:val="22"/>
          <w:szCs w:val="22"/>
        </w:rPr>
      </w:pPr>
      <w:r w:rsidRPr="00654C33">
        <w:rPr>
          <w:sz w:val="22"/>
          <w:szCs w:val="22"/>
        </w:rPr>
        <w:t>Australian Prudential Regulation Authority (confidentiality) determination No. 2 of 2013 [F2013L00219]</w:t>
      </w:r>
    </w:p>
    <w:p w:rsidR="000F073E" w:rsidRPr="00C45C72" w:rsidRDefault="000F073E" w:rsidP="000F073E">
      <w:pPr>
        <w:tabs>
          <w:tab w:val="left" w:pos="284"/>
        </w:tabs>
        <w:spacing w:before="120" w:after="120"/>
        <w:ind w:right="-46"/>
        <w:rPr>
          <w:sz w:val="24"/>
          <w:szCs w:val="24"/>
        </w:rPr>
      </w:pPr>
      <w:r w:rsidRPr="00C45C72">
        <w:rPr>
          <w:b/>
          <w:i/>
          <w:sz w:val="24"/>
          <w:szCs w:val="24"/>
        </w:rPr>
        <w:t>Banking Act 1959</w:t>
      </w:r>
    </w:p>
    <w:p w:rsidR="000F073E" w:rsidRPr="00654C33" w:rsidRDefault="000F073E" w:rsidP="000F073E">
      <w:pPr>
        <w:tabs>
          <w:tab w:val="left" w:pos="284"/>
        </w:tabs>
        <w:spacing w:after="60"/>
        <w:ind w:right="-45"/>
        <w:jc w:val="left"/>
        <w:rPr>
          <w:color w:val="000000"/>
          <w:sz w:val="22"/>
          <w:szCs w:val="22"/>
        </w:rPr>
      </w:pPr>
      <w:r w:rsidRPr="00654C33">
        <w:rPr>
          <w:color w:val="000000"/>
          <w:sz w:val="22"/>
          <w:szCs w:val="22"/>
        </w:rPr>
        <w:t>Banking Amendment Regulation 2013 (No. 1) [Select Legislative Instrument No. 8, 2013] [F2013L00206]</w:t>
      </w:r>
    </w:p>
    <w:p w:rsidR="000F073E" w:rsidRPr="00C45C72" w:rsidRDefault="000F073E" w:rsidP="000F073E">
      <w:pPr>
        <w:tabs>
          <w:tab w:val="left" w:pos="284"/>
        </w:tabs>
        <w:spacing w:before="120" w:after="120"/>
        <w:ind w:right="-330"/>
        <w:rPr>
          <w:sz w:val="24"/>
          <w:szCs w:val="24"/>
        </w:rPr>
      </w:pPr>
      <w:r w:rsidRPr="00C45C72">
        <w:rPr>
          <w:b/>
          <w:i/>
          <w:sz w:val="24"/>
          <w:szCs w:val="24"/>
        </w:rPr>
        <w:t>Civil Aviation Act 1988</w:t>
      </w:r>
    </w:p>
    <w:p w:rsidR="000F073E" w:rsidRPr="00654C33" w:rsidRDefault="000F073E" w:rsidP="000F073E">
      <w:pPr>
        <w:spacing w:after="60"/>
        <w:jc w:val="left"/>
        <w:rPr>
          <w:color w:val="000000"/>
          <w:sz w:val="22"/>
          <w:szCs w:val="22"/>
        </w:rPr>
      </w:pPr>
      <w:r w:rsidRPr="00654C33">
        <w:rPr>
          <w:color w:val="000000"/>
          <w:sz w:val="22"/>
          <w:szCs w:val="22"/>
        </w:rPr>
        <w:t xml:space="preserve">AD/A320/96 </w:t>
      </w:r>
      <w:proofErr w:type="spellStart"/>
      <w:r w:rsidRPr="00654C33">
        <w:rPr>
          <w:color w:val="000000"/>
          <w:sz w:val="22"/>
          <w:szCs w:val="22"/>
        </w:rPr>
        <w:t>Amdt</w:t>
      </w:r>
      <w:proofErr w:type="spellEnd"/>
      <w:r w:rsidRPr="00654C33">
        <w:rPr>
          <w:color w:val="000000"/>
          <w:sz w:val="22"/>
          <w:szCs w:val="22"/>
        </w:rPr>
        <w:t xml:space="preserve"> 2 - </w:t>
      </w:r>
      <w:r>
        <w:rPr>
          <w:color w:val="000000"/>
          <w:sz w:val="22"/>
          <w:szCs w:val="22"/>
        </w:rPr>
        <w:t xml:space="preserve">Alternate Braking System Check </w:t>
      </w:r>
      <w:r w:rsidRPr="00654C33">
        <w:rPr>
          <w:color w:val="000000"/>
          <w:sz w:val="22"/>
          <w:szCs w:val="22"/>
        </w:rPr>
        <w:t>[F2013L00182]</w:t>
      </w:r>
    </w:p>
    <w:p w:rsidR="000F073E" w:rsidRPr="00654C33" w:rsidRDefault="000F073E" w:rsidP="000F073E">
      <w:pPr>
        <w:spacing w:after="60"/>
        <w:jc w:val="left"/>
        <w:rPr>
          <w:color w:val="000000"/>
          <w:sz w:val="22"/>
          <w:szCs w:val="22"/>
        </w:rPr>
      </w:pPr>
      <w:r w:rsidRPr="00654C33">
        <w:rPr>
          <w:color w:val="000000"/>
          <w:sz w:val="22"/>
          <w:szCs w:val="22"/>
        </w:rPr>
        <w:t>CASA 24/13 - Permission - flying over a public gathering at the Australian International Air Show, Avalon - Permission - flying below minimum height at the Australian International Air Show, Avalon [F2013L00211]</w:t>
      </w:r>
    </w:p>
    <w:p w:rsidR="000F073E" w:rsidRPr="00654C33" w:rsidRDefault="000F073E" w:rsidP="000F073E">
      <w:pPr>
        <w:spacing w:after="60"/>
        <w:jc w:val="left"/>
        <w:rPr>
          <w:color w:val="000000"/>
          <w:sz w:val="22"/>
          <w:szCs w:val="22"/>
        </w:rPr>
      </w:pPr>
      <w:r w:rsidRPr="00654C33">
        <w:rPr>
          <w:color w:val="000000"/>
          <w:sz w:val="22"/>
          <w:szCs w:val="22"/>
        </w:rPr>
        <w:t>CASA EX12/13 - Exemption - operations by sport and recreational aircraft in restricted area R979A [F2013L00193]</w:t>
      </w:r>
    </w:p>
    <w:p w:rsidR="000F073E" w:rsidRPr="00654C33" w:rsidRDefault="000F073E" w:rsidP="000F073E">
      <w:pPr>
        <w:spacing w:after="60"/>
        <w:jc w:val="left"/>
        <w:rPr>
          <w:color w:val="000000"/>
          <w:sz w:val="22"/>
          <w:szCs w:val="22"/>
        </w:rPr>
      </w:pPr>
      <w:r w:rsidRPr="00654C33">
        <w:rPr>
          <w:color w:val="000000"/>
          <w:sz w:val="22"/>
          <w:szCs w:val="22"/>
        </w:rPr>
        <w:t>CASA EX13/13 - Exemption - turns after take-off at Australian International Air Show [F2013L00196]</w:t>
      </w:r>
    </w:p>
    <w:p w:rsidR="000F073E" w:rsidRPr="00654C33" w:rsidRDefault="000F073E" w:rsidP="000F073E">
      <w:pPr>
        <w:spacing w:after="60"/>
        <w:jc w:val="left"/>
        <w:rPr>
          <w:color w:val="000000"/>
          <w:sz w:val="22"/>
          <w:szCs w:val="22"/>
        </w:rPr>
      </w:pPr>
      <w:r w:rsidRPr="00654C33">
        <w:rPr>
          <w:color w:val="000000"/>
          <w:sz w:val="22"/>
          <w:szCs w:val="22"/>
        </w:rPr>
        <w:t>CASA EX16/13 - Exemption - power-assisted glider at the Australian International Air Show, Avalon [F2013L00198]</w:t>
      </w:r>
    </w:p>
    <w:p w:rsidR="000F073E" w:rsidRPr="00654C33" w:rsidRDefault="000F073E" w:rsidP="000F073E">
      <w:pPr>
        <w:spacing w:after="60"/>
        <w:jc w:val="left"/>
        <w:rPr>
          <w:color w:val="000000"/>
          <w:sz w:val="22"/>
          <w:szCs w:val="22"/>
        </w:rPr>
      </w:pPr>
      <w:r w:rsidRPr="00654C33">
        <w:rPr>
          <w:color w:val="000000"/>
          <w:sz w:val="22"/>
          <w:szCs w:val="22"/>
        </w:rPr>
        <w:t>Civil Aviation Legislation Amendment Regulation 2013 (No. 1) [Select Legislative Instrument 2013 No. 5] [F2013L00218]</w:t>
      </w:r>
    </w:p>
    <w:p w:rsidR="000F073E" w:rsidRPr="00C45C72" w:rsidRDefault="000F073E" w:rsidP="000F073E">
      <w:pPr>
        <w:tabs>
          <w:tab w:val="left" w:pos="284"/>
        </w:tabs>
        <w:spacing w:after="120"/>
        <w:ind w:right="-46"/>
        <w:rPr>
          <w:sz w:val="24"/>
          <w:szCs w:val="24"/>
        </w:rPr>
      </w:pPr>
      <w:r w:rsidRPr="00C45C72">
        <w:rPr>
          <w:b/>
          <w:i/>
          <w:sz w:val="24"/>
          <w:szCs w:val="24"/>
        </w:rPr>
        <w:lastRenderedPageBreak/>
        <w:t>Competition and Consumer Act 2010</w:t>
      </w:r>
    </w:p>
    <w:p w:rsidR="000F073E" w:rsidRPr="00654C33" w:rsidRDefault="000F073E" w:rsidP="000F073E">
      <w:pPr>
        <w:spacing w:after="60"/>
        <w:ind w:right="-46"/>
        <w:jc w:val="left"/>
        <w:rPr>
          <w:color w:val="000000"/>
          <w:sz w:val="22"/>
          <w:szCs w:val="22"/>
        </w:rPr>
      </w:pPr>
      <w:r w:rsidRPr="00654C33">
        <w:rPr>
          <w:color w:val="000000"/>
          <w:sz w:val="22"/>
          <w:szCs w:val="22"/>
        </w:rPr>
        <w:t>Competition and Consumer Act 2010 - Consumer Protection Notice No. 1 of 2013 - Safety Standard: Baby Walkers [F2013L00190]</w:t>
      </w:r>
    </w:p>
    <w:p w:rsidR="000F073E" w:rsidRPr="00654C33" w:rsidRDefault="000F073E" w:rsidP="000F073E">
      <w:pPr>
        <w:spacing w:after="60"/>
        <w:ind w:right="-46"/>
        <w:jc w:val="left"/>
        <w:rPr>
          <w:color w:val="000000"/>
          <w:sz w:val="22"/>
          <w:szCs w:val="22"/>
        </w:rPr>
      </w:pPr>
      <w:r w:rsidRPr="00654C33">
        <w:rPr>
          <w:color w:val="000000"/>
          <w:sz w:val="22"/>
          <w:szCs w:val="22"/>
        </w:rPr>
        <w:t>Competition and Consumer Amendment Regulation 2013 (No. 1) [Select Legislative Instrument 2013 No. 9] [F2013L00187]</w:t>
      </w:r>
    </w:p>
    <w:p w:rsidR="000F073E" w:rsidRPr="00C45C72" w:rsidRDefault="000F073E" w:rsidP="000F073E">
      <w:pPr>
        <w:tabs>
          <w:tab w:val="left" w:pos="284"/>
        </w:tabs>
        <w:spacing w:before="120" w:after="120"/>
        <w:ind w:right="-45"/>
        <w:rPr>
          <w:sz w:val="24"/>
          <w:szCs w:val="24"/>
        </w:rPr>
      </w:pPr>
      <w:r w:rsidRPr="00C45C72">
        <w:rPr>
          <w:b/>
          <w:i/>
          <w:sz w:val="24"/>
          <w:szCs w:val="24"/>
        </w:rPr>
        <w:t>Customs Act 1901</w:t>
      </w:r>
    </w:p>
    <w:p w:rsidR="000F073E" w:rsidRPr="00654C33" w:rsidRDefault="000F073E" w:rsidP="000F073E">
      <w:pPr>
        <w:tabs>
          <w:tab w:val="left" w:pos="284"/>
        </w:tabs>
        <w:spacing w:after="60"/>
        <w:ind w:right="-45"/>
        <w:jc w:val="left"/>
        <w:rPr>
          <w:color w:val="000000"/>
          <w:sz w:val="22"/>
          <w:szCs w:val="22"/>
        </w:rPr>
      </w:pPr>
      <w:r w:rsidRPr="00654C33">
        <w:rPr>
          <w:color w:val="000000"/>
          <w:sz w:val="22"/>
          <w:szCs w:val="22"/>
        </w:rPr>
        <w:t>Customs Amendment Regulation 2013 (No. 1) [Select Legislative Instrument 2013 No. 1] [F2013L00204]</w:t>
      </w:r>
    </w:p>
    <w:p w:rsidR="000F073E" w:rsidRPr="00C45C72" w:rsidRDefault="000F073E" w:rsidP="000F073E">
      <w:pPr>
        <w:tabs>
          <w:tab w:val="left" w:pos="284"/>
        </w:tabs>
        <w:spacing w:before="120" w:after="120"/>
        <w:ind w:right="-45"/>
        <w:rPr>
          <w:sz w:val="24"/>
          <w:szCs w:val="24"/>
        </w:rPr>
      </w:pPr>
      <w:r w:rsidRPr="00C45C72">
        <w:rPr>
          <w:b/>
          <w:i/>
          <w:sz w:val="24"/>
          <w:szCs w:val="24"/>
        </w:rPr>
        <w:t>Customs Administration Act 1985</w:t>
      </w:r>
    </w:p>
    <w:p w:rsidR="000F073E" w:rsidRPr="004D0572" w:rsidRDefault="000F073E" w:rsidP="000F073E">
      <w:pPr>
        <w:spacing w:after="60"/>
        <w:ind w:right="-45"/>
        <w:jc w:val="left"/>
        <w:rPr>
          <w:color w:val="000000"/>
          <w:sz w:val="20"/>
        </w:rPr>
      </w:pPr>
      <w:r w:rsidRPr="00654C33">
        <w:rPr>
          <w:color w:val="000000"/>
          <w:sz w:val="22"/>
          <w:szCs w:val="22"/>
        </w:rPr>
        <w:t>Customs (Drug and Alcohol Testing) Regulation 2013 [Select Legislative Instrument No. 2, 2013] [F2013L00191</w:t>
      </w:r>
      <w:r w:rsidRPr="004D0572">
        <w:rPr>
          <w:color w:val="000000"/>
          <w:sz w:val="20"/>
        </w:rPr>
        <w:t>]</w:t>
      </w:r>
    </w:p>
    <w:p w:rsidR="000F073E" w:rsidRPr="00C45C72" w:rsidRDefault="000F073E" w:rsidP="000F073E">
      <w:pPr>
        <w:tabs>
          <w:tab w:val="left" w:pos="284"/>
        </w:tabs>
        <w:spacing w:before="120" w:after="120"/>
        <w:ind w:right="-329"/>
        <w:rPr>
          <w:sz w:val="24"/>
          <w:szCs w:val="24"/>
        </w:rPr>
      </w:pPr>
      <w:r w:rsidRPr="00C45C72">
        <w:rPr>
          <w:b/>
          <w:i/>
          <w:sz w:val="24"/>
          <w:szCs w:val="24"/>
        </w:rPr>
        <w:t>Environment Protection and Biodiversity Conservation Act 1999</w:t>
      </w:r>
    </w:p>
    <w:p w:rsidR="000F073E" w:rsidRPr="00654C33" w:rsidRDefault="000F073E" w:rsidP="000F073E">
      <w:pPr>
        <w:spacing w:after="60"/>
        <w:jc w:val="left"/>
        <w:rPr>
          <w:color w:val="000000"/>
          <w:sz w:val="22"/>
          <w:szCs w:val="22"/>
        </w:rPr>
      </w:pPr>
      <w:r w:rsidRPr="00654C33">
        <w:rPr>
          <w:color w:val="000000"/>
          <w:sz w:val="22"/>
          <w:szCs w:val="22"/>
        </w:rPr>
        <w:t>Inclusion of ecological communities in the list of threatened ecological communities under section 181 of the Environment Protection and Biodiversity Conservation Act 1999 - Lowland Grassy Woodland in the South East Corner Bioregion (117) (30/01/2013) [F2013L00192]</w:t>
      </w:r>
    </w:p>
    <w:p w:rsidR="000F073E" w:rsidRPr="00C45C72" w:rsidRDefault="000F073E" w:rsidP="000F073E">
      <w:pPr>
        <w:tabs>
          <w:tab w:val="left" w:pos="284"/>
        </w:tabs>
        <w:spacing w:before="120" w:after="120"/>
        <w:ind w:right="-329"/>
        <w:rPr>
          <w:sz w:val="24"/>
          <w:szCs w:val="24"/>
        </w:rPr>
      </w:pPr>
      <w:r w:rsidRPr="00C45C72">
        <w:rPr>
          <w:b/>
          <w:i/>
          <w:sz w:val="24"/>
          <w:szCs w:val="24"/>
        </w:rPr>
        <w:t>Excise Act 1901</w:t>
      </w:r>
    </w:p>
    <w:p w:rsidR="000F073E" w:rsidRPr="00654C33" w:rsidRDefault="000F073E" w:rsidP="000F073E">
      <w:pPr>
        <w:tabs>
          <w:tab w:val="left" w:pos="284"/>
        </w:tabs>
        <w:spacing w:after="60"/>
        <w:jc w:val="left"/>
        <w:rPr>
          <w:color w:val="000000"/>
          <w:sz w:val="22"/>
          <w:szCs w:val="22"/>
        </w:rPr>
      </w:pPr>
      <w:r w:rsidRPr="00654C33">
        <w:rPr>
          <w:color w:val="000000"/>
          <w:sz w:val="22"/>
          <w:szCs w:val="22"/>
        </w:rPr>
        <w:t>Excise Amendment Regulation 2013 (No. 1) [Select Legislative Instrument 2013 No. 10] [F2013L00199]</w:t>
      </w:r>
    </w:p>
    <w:p w:rsidR="000F073E" w:rsidRPr="00C45C72" w:rsidRDefault="000F073E" w:rsidP="000F073E">
      <w:pPr>
        <w:tabs>
          <w:tab w:val="left" w:pos="284"/>
        </w:tabs>
        <w:spacing w:before="120" w:after="120"/>
        <w:ind w:right="-329"/>
        <w:rPr>
          <w:sz w:val="24"/>
          <w:szCs w:val="24"/>
        </w:rPr>
      </w:pPr>
      <w:r w:rsidRPr="00C45C72">
        <w:rPr>
          <w:b/>
          <w:i/>
          <w:sz w:val="24"/>
          <w:szCs w:val="24"/>
        </w:rPr>
        <w:t>Extradition Act 1988</w:t>
      </w:r>
    </w:p>
    <w:p w:rsidR="000F073E" w:rsidRPr="00654C33" w:rsidRDefault="000F073E" w:rsidP="000F073E">
      <w:pPr>
        <w:tabs>
          <w:tab w:val="left" w:pos="284"/>
        </w:tabs>
        <w:spacing w:after="60"/>
        <w:ind w:right="-45"/>
        <w:jc w:val="left"/>
        <w:rPr>
          <w:sz w:val="22"/>
          <w:szCs w:val="22"/>
        </w:rPr>
      </w:pPr>
      <w:r w:rsidRPr="00654C33">
        <w:rPr>
          <w:sz w:val="22"/>
          <w:szCs w:val="22"/>
        </w:rPr>
        <w:t>Extradition (Cybercrime) Regulation 2013 [Select Legislative Instrument No. 3, 2013] [F2013L00214]</w:t>
      </w:r>
    </w:p>
    <w:p w:rsidR="000F073E" w:rsidRPr="00AC5B66" w:rsidRDefault="000F073E" w:rsidP="000F073E">
      <w:pPr>
        <w:tabs>
          <w:tab w:val="left" w:pos="284"/>
        </w:tabs>
        <w:spacing w:before="120" w:after="120"/>
        <w:ind w:right="96"/>
        <w:rPr>
          <w:sz w:val="24"/>
          <w:szCs w:val="24"/>
        </w:rPr>
      </w:pPr>
      <w:r w:rsidRPr="00AC5B66">
        <w:rPr>
          <w:b/>
          <w:i/>
          <w:sz w:val="24"/>
          <w:szCs w:val="24"/>
        </w:rPr>
        <w:t>Fisheries Management Act 1991</w:t>
      </w:r>
    </w:p>
    <w:p w:rsidR="000F073E" w:rsidRPr="00AC5B66" w:rsidRDefault="000F073E" w:rsidP="000F073E">
      <w:pPr>
        <w:tabs>
          <w:tab w:val="left" w:pos="284"/>
        </w:tabs>
        <w:spacing w:after="60"/>
        <w:ind w:right="96"/>
        <w:jc w:val="left"/>
        <w:rPr>
          <w:sz w:val="22"/>
          <w:szCs w:val="22"/>
        </w:rPr>
      </w:pPr>
      <w:r w:rsidRPr="00AC5B66">
        <w:rPr>
          <w:sz w:val="22"/>
          <w:szCs w:val="22"/>
        </w:rPr>
        <w:t xml:space="preserve">Southern and Eastern </w:t>
      </w:r>
      <w:proofErr w:type="spellStart"/>
      <w:r w:rsidRPr="00AC5B66">
        <w:rPr>
          <w:sz w:val="22"/>
          <w:szCs w:val="22"/>
        </w:rPr>
        <w:t>Scalefish</w:t>
      </w:r>
      <w:proofErr w:type="spellEnd"/>
      <w:r w:rsidRPr="00AC5B66">
        <w:rPr>
          <w:sz w:val="22"/>
          <w:szCs w:val="22"/>
        </w:rPr>
        <w:t xml:space="preserve"> and Shark Fishery (Closures) Direction No. 5 2013 [F2013L00222]</w:t>
      </w:r>
    </w:p>
    <w:p w:rsidR="000F073E" w:rsidRPr="00AC5B66" w:rsidRDefault="000F073E" w:rsidP="000F073E">
      <w:pPr>
        <w:tabs>
          <w:tab w:val="left" w:pos="284"/>
        </w:tabs>
        <w:spacing w:before="120" w:after="120"/>
        <w:ind w:right="96"/>
        <w:rPr>
          <w:sz w:val="24"/>
          <w:szCs w:val="24"/>
        </w:rPr>
      </w:pPr>
      <w:r w:rsidRPr="00AC5B66">
        <w:rPr>
          <w:b/>
          <w:i/>
          <w:sz w:val="24"/>
          <w:szCs w:val="24"/>
        </w:rPr>
        <w:t>Health Insurance Act 1973</w:t>
      </w:r>
    </w:p>
    <w:p w:rsidR="000F073E" w:rsidRPr="00654C33" w:rsidRDefault="000F073E" w:rsidP="000F073E">
      <w:pPr>
        <w:spacing w:after="60"/>
        <w:ind w:right="96"/>
        <w:jc w:val="left"/>
        <w:rPr>
          <w:color w:val="000000"/>
          <w:sz w:val="22"/>
          <w:szCs w:val="22"/>
        </w:rPr>
      </w:pPr>
      <w:r w:rsidRPr="00654C33">
        <w:rPr>
          <w:color w:val="000000"/>
          <w:sz w:val="22"/>
          <w:szCs w:val="22"/>
        </w:rPr>
        <w:t>Health Insurance (General Medical Services Table) Amendment Regulation 2013 (No. 1) [Select Legislative Instrument 2013 No. 12] [F2013L00201]</w:t>
      </w:r>
    </w:p>
    <w:p w:rsidR="000F073E" w:rsidRPr="00AC5B66" w:rsidRDefault="000F073E" w:rsidP="000F073E">
      <w:pPr>
        <w:tabs>
          <w:tab w:val="left" w:pos="284"/>
        </w:tabs>
        <w:spacing w:before="120" w:after="120"/>
        <w:ind w:right="96"/>
        <w:rPr>
          <w:sz w:val="24"/>
          <w:szCs w:val="24"/>
        </w:rPr>
      </w:pPr>
      <w:r w:rsidRPr="00AC5B66">
        <w:rPr>
          <w:b/>
          <w:i/>
          <w:sz w:val="24"/>
          <w:szCs w:val="24"/>
        </w:rPr>
        <w:t>Higher Education Support Act 2003</w:t>
      </w:r>
    </w:p>
    <w:p w:rsidR="000F073E" w:rsidRPr="00654C33" w:rsidRDefault="000F073E" w:rsidP="000F073E">
      <w:pPr>
        <w:spacing w:after="60"/>
        <w:ind w:right="96"/>
        <w:jc w:val="left"/>
        <w:rPr>
          <w:color w:val="000000"/>
          <w:sz w:val="22"/>
          <w:szCs w:val="22"/>
        </w:rPr>
      </w:pPr>
      <w:r w:rsidRPr="00654C33">
        <w:rPr>
          <w:color w:val="000000"/>
          <w:sz w:val="22"/>
          <w:szCs w:val="22"/>
        </w:rPr>
        <w:t>Higher Education Support Act 2003 - Amendment No. 1 to the Administration Guidelines 2012 [F2013L00180]</w:t>
      </w:r>
    </w:p>
    <w:p w:rsidR="000F073E" w:rsidRPr="00AC5B66" w:rsidRDefault="000F073E" w:rsidP="000F073E">
      <w:pPr>
        <w:tabs>
          <w:tab w:val="left" w:pos="284"/>
        </w:tabs>
        <w:spacing w:before="120" w:after="120"/>
        <w:ind w:right="96"/>
        <w:rPr>
          <w:sz w:val="24"/>
          <w:szCs w:val="24"/>
        </w:rPr>
      </w:pPr>
      <w:r w:rsidRPr="00AC5B66">
        <w:rPr>
          <w:b/>
          <w:i/>
          <w:sz w:val="24"/>
          <w:szCs w:val="24"/>
        </w:rPr>
        <w:t>Mutual Assistance in Criminal Matters Act 1987</w:t>
      </w:r>
    </w:p>
    <w:p w:rsidR="000F073E" w:rsidRPr="00654C33" w:rsidRDefault="000F073E" w:rsidP="000F073E">
      <w:pPr>
        <w:spacing w:after="60"/>
        <w:ind w:right="96"/>
        <w:jc w:val="left"/>
        <w:rPr>
          <w:color w:val="000000"/>
          <w:sz w:val="22"/>
          <w:szCs w:val="22"/>
        </w:rPr>
      </w:pPr>
      <w:r w:rsidRPr="00654C33">
        <w:rPr>
          <w:color w:val="000000"/>
          <w:sz w:val="22"/>
          <w:szCs w:val="22"/>
        </w:rPr>
        <w:t>Mutual Assistance in Criminal Matters (Cybercrime) Regulation 2013 [Select Legislative Instrument No. 4, 2013] [F2013L00205]</w:t>
      </w:r>
    </w:p>
    <w:p w:rsidR="000F073E" w:rsidRPr="00AC5B66" w:rsidRDefault="000F073E" w:rsidP="000F073E">
      <w:pPr>
        <w:tabs>
          <w:tab w:val="left" w:pos="284"/>
        </w:tabs>
        <w:spacing w:before="120" w:after="120"/>
        <w:ind w:right="-329"/>
        <w:rPr>
          <w:sz w:val="24"/>
          <w:szCs w:val="24"/>
        </w:rPr>
      </w:pPr>
      <w:r w:rsidRPr="00AC5B66">
        <w:rPr>
          <w:b/>
          <w:i/>
          <w:sz w:val="24"/>
          <w:szCs w:val="24"/>
        </w:rPr>
        <w:t>National Health Act 1953</w:t>
      </w:r>
    </w:p>
    <w:p w:rsidR="000F073E" w:rsidRPr="00AC5B66" w:rsidRDefault="000F073E" w:rsidP="000F073E">
      <w:pPr>
        <w:spacing w:before="60" w:after="60"/>
        <w:jc w:val="left"/>
        <w:rPr>
          <w:color w:val="000000"/>
          <w:sz w:val="22"/>
          <w:szCs w:val="22"/>
        </w:rPr>
      </w:pPr>
      <w:r w:rsidRPr="00AC5B66">
        <w:rPr>
          <w:color w:val="000000"/>
          <w:sz w:val="22"/>
          <w:szCs w:val="22"/>
        </w:rPr>
        <w:t xml:space="preserve">National Health Act 1953 - Amendment determination under paragraph </w:t>
      </w:r>
      <w:proofErr w:type="gramStart"/>
      <w:r w:rsidRPr="00AC5B66">
        <w:rPr>
          <w:color w:val="000000"/>
          <w:sz w:val="22"/>
          <w:szCs w:val="22"/>
        </w:rPr>
        <w:t>98C(</w:t>
      </w:r>
      <w:proofErr w:type="gramEnd"/>
      <w:r w:rsidRPr="00AC5B66">
        <w:rPr>
          <w:color w:val="000000"/>
          <w:sz w:val="22"/>
          <w:szCs w:val="22"/>
        </w:rPr>
        <w:t>1)(b) (No. PB 9 of 2013) [F2013L00186]</w:t>
      </w:r>
    </w:p>
    <w:p w:rsidR="000F073E" w:rsidRPr="00AC5B66" w:rsidRDefault="000F073E" w:rsidP="000F073E">
      <w:pPr>
        <w:spacing w:before="60" w:after="60"/>
        <w:jc w:val="left"/>
        <w:rPr>
          <w:color w:val="000000"/>
          <w:sz w:val="22"/>
          <w:szCs w:val="22"/>
        </w:rPr>
      </w:pPr>
      <w:proofErr w:type="gramStart"/>
      <w:r w:rsidRPr="00AC5B66">
        <w:rPr>
          <w:color w:val="000000"/>
          <w:sz w:val="22"/>
          <w:szCs w:val="22"/>
        </w:rPr>
        <w:t>National Health (Listing of Pharmaceutical Benefits) Amendment Instrument 2013 (No. 3) (No.</w:t>
      </w:r>
      <w:proofErr w:type="gramEnd"/>
      <w:r w:rsidRPr="00AC5B66">
        <w:rPr>
          <w:color w:val="000000"/>
          <w:sz w:val="22"/>
          <w:szCs w:val="22"/>
        </w:rPr>
        <w:t xml:space="preserve"> PB 8 of 2013) [F2013L00185]</w:t>
      </w:r>
    </w:p>
    <w:p w:rsidR="000F073E" w:rsidRPr="00AC5B66" w:rsidRDefault="000F073E" w:rsidP="000F073E">
      <w:pPr>
        <w:tabs>
          <w:tab w:val="left" w:pos="284"/>
        </w:tabs>
        <w:spacing w:after="120"/>
        <w:ind w:right="-329"/>
        <w:rPr>
          <w:sz w:val="22"/>
          <w:szCs w:val="22"/>
        </w:rPr>
      </w:pPr>
      <w:r>
        <w:rPr>
          <w:b/>
          <w:i/>
          <w:sz w:val="22"/>
          <w:szCs w:val="22"/>
        </w:rPr>
        <w:br w:type="page"/>
      </w:r>
      <w:r w:rsidRPr="00AC5B66">
        <w:rPr>
          <w:b/>
          <w:i/>
          <w:sz w:val="22"/>
          <w:szCs w:val="22"/>
        </w:rPr>
        <w:lastRenderedPageBreak/>
        <w:t>Private Health Insurance Act 2007</w:t>
      </w:r>
    </w:p>
    <w:p w:rsidR="000F073E" w:rsidRPr="00AC5B66" w:rsidRDefault="000F073E" w:rsidP="000F073E">
      <w:pPr>
        <w:tabs>
          <w:tab w:val="left" w:pos="284"/>
        </w:tabs>
        <w:spacing w:after="60"/>
        <w:jc w:val="left"/>
        <w:rPr>
          <w:color w:val="000000"/>
          <w:sz w:val="22"/>
          <w:szCs w:val="22"/>
        </w:rPr>
      </w:pPr>
      <w:r w:rsidRPr="00AC5B66">
        <w:rPr>
          <w:color w:val="000000"/>
          <w:sz w:val="22"/>
          <w:szCs w:val="22"/>
        </w:rPr>
        <w:t>Private Health Insurance (Prostheses) Amendment Rules 2013 (No. 1) [F2013L00203]</w:t>
      </w:r>
    </w:p>
    <w:p w:rsidR="000F073E" w:rsidRPr="00AC5B66" w:rsidRDefault="000F073E" w:rsidP="000F073E">
      <w:pPr>
        <w:tabs>
          <w:tab w:val="left" w:pos="284"/>
        </w:tabs>
        <w:spacing w:before="120" w:after="120"/>
        <w:ind w:right="-329"/>
        <w:rPr>
          <w:sz w:val="24"/>
          <w:szCs w:val="24"/>
        </w:rPr>
      </w:pPr>
      <w:r w:rsidRPr="00AC5B66">
        <w:rPr>
          <w:b/>
          <w:i/>
          <w:sz w:val="24"/>
          <w:szCs w:val="24"/>
        </w:rPr>
        <w:t>Retirement Savings Accounts Act 1997</w:t>
      </w:r>
    </w:p>
    <w:p w:rsidR="000F073E" w:rsidRPr="00AC5B66" w:rsidRDefault="000F073E" w:rsidP="000F073E">
      <w:pPr>
        <w:spacing w:after="60"/>
        <w:jc w:val="left"/>
        <w:rPr>
          <w:color w:val="000000"/>
          <w:sz w:val="22"/>
          <w:szCs w:val="22"/>
        </w:rPr>
      </w:pPr>
      <w:r w:rsidRPr="00AC5B66">
        <w:rPr>
          <w:color w:val="000000"/>
          <w:sz w:val="22"/>
          <w:szCs w:val="22"/>
        </w:rPr>
        <w:t>Retirement Savings Accounts Amendment Regulation 2013 (No. 1) [Select Legislative Instrument 2013 No. 13] [F2013L00208]</w:t>
      </w:r>
    </w:p>
    <w:p w:rsidR="000F073E" w:rsidRPr="00AC5B66" w:rsidRDefault="000F073E" w:rsidP="000F073E">
      <w:pPr>
        <w:tabs>
          <w:tab w:val="left" w:pos="284"/>
        </w:tabs>
        <w:spacing w:before="120" w:after="120"/>
        <w:ind w:right="-329"/>
        <w:rPr>
          <w:sz w:val="24"/>
          <w:szCs w:val="24"/>
        </w:rPr>
      </w:pPr>
      <w:r w:rsidRPr="00AC5B66">
        <w:rPr>
          <w:b/>
          <w:i/>
          <w:sz w:val="24"/>
          <w:szCs w:val="24"/>
        </w:rPr>
        <w:t>Social Security Act 1991</w:t>
      </w:r>
    </w:p>
    <w:p w:rsidR="000F073E" w:rsidRPr="00AC5B66" w:rsidRDefault="000F073E" w:rsidP="000F073E">
      <w:pPr>
        <w:spacing w:after="60"/>
        <w:ind w:right="-329"/>
        <w:jc w:val="left"/>
        <w:rPr>
          <w:sz w:val="22"/>
          <w:szCs w:val="22"/>
        </w:rPr>
      </w:pPr>
      <w:r w:rsidRPr="00AC5B66">
        <w:rPr>
          <w:sz w:val="22"/>
          <w:szCs w:val="22"/>
        </w:rPr>
        <w:t>Social Security (Deeming Threshold Rates) (</w:t>
      </w:r>
      <w:proofErr w:type="spellStart"/>
      <w:r w:rsidRPr="00AC5B66">
        <w:rPr>
          <w:sz w:val="22"/>
          <w:szCs w:val="22"/>
        </w:rPr>
        <w:t>FaHCSIA</w:t>
      </w:r>
      <w:proofErr w:type="spellEnd"/>
      <w:r w:rsidRPr="00AC5B66">
        <w:rPr>
          <w:sz w:val="22"/>
          <w:szCs w:val="22"/>
        </w:rPr>
        <w:t>) Determination 2013 [F2013L00216]</w:t>
      </w:r>
    </w:p>
    <w:p w:rsidR="000F073E" w:rsidRPr="00AC5B66" w:rsidRDefault="000F073E" w:rsidP="000F073E">
      <w:pPr>
        <w:tabs>
          <w:tab w:val="left" w:pos="284"/>
        </w:tabs>
        <w:spacing w:before="120" w:after="120"/>
        <w:ind w:right="-329"/>
        <w:rPr>
          <w:sz w:val="24"/>
          <w:szCs w:val="24"/>
        </w:rPr>
      </w:pPr>
      <w:r w:rsidRPr="00AC5B66">
        <w:rPr>
          <w:b/>
          <w:i/>
          <w:sz w:val="24"/>
          <w:szCs w:val="24"/>
        </w:rPr>
        <w:t>Superannuation Industry (Supervision) Act 1993</w:t>
      </w:r>
    </w:p>
    <w:p w:rsidR="000F073E" w:rsidRPr="00AC5B66" w:rsidRDefault="000F073E" w:rsidP="000F073E">
      <w:pPr>
        <w:spacing w:after="60"/>
        <w:jc w:val="left"/>
        <w:rPr>
          <w:color w:val="000000"/>
          <w:sz w:val="22"/>
          <w:szCs w:val="22"/>
        </w:rPr>
      </w:pPr>
      <w:r w:rsidRPr="00AC5B66">
        <w:rPr>
          <w:color w:val="000000"/>
          <w:sz w:val="22"/>
          <w:szCs w:val="22"/>
        </w:rPr>
        <w:t>Superannuation Industry (Supervision) Amendment Regulation 2013 (No. 1) [Select Legislative Instrument 2013 No. 14] [F2013L00212]</w:t>
      </w:r>
    </w:p>
    <w:p w:rsidR="000F073E" w:rsidRPr="00AC5B66" w:rsidRDefault="000F073E" w:rsidP="000F073E">
      <w:pPr>
        <w:tabs>
          <w:tab w:val="left" w:pos="284"/>
        </w:tabs>
        <w:spacing w:before="120" w:after="120"/>
        <w:ind w:right="-329"/>
        <w:rPr>
          <w:sz w:val="24"/>
          <w:szCs w:val="24"/>
        </w:rPr>
      </w:pPr>
      <w:r w:rsidRPr="00AC5B66">
        <w:rPr>
          <w:b/>
          <w:i/>
          <w:sz w:val="24"/>
          <w:szCs w:val="24"/>
        </w:rPr>
        <w:t>Sydney Airport Demand Management Act 1997</w:t>
      </w:r>
    </w:p>
    <w:p w:rsidR="000F073E" w:rsidRPr="00AC5B66" w:rsidRDefault="000F073E" w:rsidP="000F073E">
      <w:pPr>
        <w:spacing w:after="60"/>
        <w:jc w:val="left"/>
        <w:rPr>
          <w:color w:val="000000"/>
          <w:sz w:val="22"/>
          <w:szCs w:val="22"/>
        </w:rPr>
      </w:pPr>
      <w:r w:rsidRPr="00AC5B66">
        <w:rPr>
          <w:color w:val="000000"/>
          <w:sz w:val="22"/>
          <w:szCs w:val="22"/>
        </w:rPr>
        <w:t>Sydney Airport Slot Management Scheme 2013 [F2013L00183]</w:t>
      </w:r>
    </w:p>
    <w:p w:rsidR="000F073E" w:rsidRPr="00AC5B66" w:rsidRDefault="000F073E" w:rsidP="000F073E">
      <w:pPr>
        <w:tabs>
          <w:tab w:val="left" w:pos="284"/>
        </w:tabs>
        <w:spacing w:before="120" w:after="120"/>
        <w:ind w:right="-329"/>
        <w:rPr>
          <w:sz w:val="24"/>
          <w:szCs w:val="24"/>
        </w:rPr>
      </w:pPr>
      <w:r w:rsidRPr="00AC5B66">
        <w:rPr>
          <w:b/>
          <w:i/>
          <w:sz w:val="24"/>
          <w:szCs w:val="24"/>
        </w:rPr>
        <w:t>Tertiary Education Quality and Standards Agency Act 2011</w:t>
      </w:r>
    </w:p>
    <w:p w:rsidR="000F073E" w:rsidRPr="00AC5B66" w:rsidRDefault="000F073E" w:rsidP="000F073E">
      <w:pPr>
        <w:spacing w:after="60"/>
        <w:jc w:val="left"/>
        <w:rPr>
          <w:color w:val="000000"/>
          <w:sz w:val="22"/>
          <w:szCs w:val="22"/>
        </w:rPr>
      </w:pPr>
      <w:r w:rsidRPr="00AC5B66">
        <w:rPr>
          <w:color w:val="000000"/>
          <w:sz w:val="22"/>
          <w:szCs w:val="22"/>
        </w:rPr>
        <w:t>Tertiary Education Quality and Standards Agency Act 2011 - Amendment No. 1 to the Higher Education Standards Framework (Threshold Standards) 2011 [F2013L00194]</w:t>
      </w:r>
    </w:p>
    <w:p w:rsidR="000F073E" w:rsidRPr="003F1DC6" w:rsidRDefault="000F073E" w:rsidP="000F073E">
      <w:pPr>
        <w:pStyle w:val="Heading3"/>
        <w:spacing w:before="360" w:after="360"/>
        <w:jc w:val="center"/>
        <w:rPr>
          <w:u w:val="single"/>
        </w:rPr>
      </w:pPr>
      <w:r w:rsidRPr="003F1DC6">
        <w:rPr>
          <w:u w:val="single"/>
        </w:rPr>
        <w:t>Instruments received week ending 1 March 2013</w:t>
      </w:r>
    </w:p>
    <w:p w:rsidR="000F073E" w:rsidRPr="00456116" w:rsidRDefault="000F073E" w:rsidP="000F073E">
      <w:pPr>
        <w:tabs>
          <w:tab w:val="left" w:pos="284"/>
        </w:tabs>
        <w:spacing w:after="120"/>
        <w:ind w:right="-329"/>
        <w:rPr>
          <w:sz w:val="24"/>
          <w:szCs w:val="24"/>
        </w:rPr>
      </w:pPr>
      <w:r w:rsidRPr="00456116">
        <w:rPr>
          <w:b/>
          <w:i/>
          <w:sz w:val="24"/>
          <w:szCs w:val="24"/>
        </w:rPr>
        <w:t>Australian Prudential Regulation Authority Act 1998</w:t>
      </w:r>
    </w:p>
    <w:p w:rsidR="000F073E" w:rsidRPr="00456116" w:rsidRDefault="000F073E" w:rsidP="000F073E">
      <w:pPr>
        <w:spacing w:after="60"/>
        <w:jc w:val="left"/>
        <w:rPr>
          <w:color w:val="000000"/>
          <w:sz w:val="22"/>
          <w:szCs w:val="22"/>
        </w:rPr>
      </w:pPr>
      <w:r w:rsidRPr="00456116">
        <w:rPr>
          <w:color w:val="000000"/>
          <w:sz w:val="22"/>
          <w:szCs w:val="22"/>
        </w:rPr>
        <w:t>Australian Prudential Regulation Authority (confidentiality) determination No. 3 of 2013 [F2013L00316]</w:t>
      </w:r>
    </w:p>
    <w:p w:rsidR="000F073E" w:rsidRPr="00456116" w:rsidRDefault="000F073E" w:rsidP="000F073E">
      <w:pPr>
        <w:tabs>
          <w:tab w:val="left" w:pos="284"/>
        </w:tabs>
        <w:spacing w:before="120" w:after="120"/>
        <w:ind w:right="-329"/>
        <w:rPr>
          <w:sz w:val="24"/>
          <w:szCs w:val="24"/>
        </w:rPr>
      </w:pPr>
      <w:r w:rsidRPr="00456116">
        <w:rPr>
          <w:b/>
          <w:i/>
          <w:sz w:val="24"/>
          <w:szCs w:val="24"/>
        </w:rPr>
        <w:t>Broadcasting Services Act 1992</w:t>
      </w:r>
    </w:p>
    <w:p w:rsidR="000F073E" w:rsidRPr="00456116" w:rsidRDefault="000F073E" w:rsidP="000F073E">
      <w:pPr>
        <w:spacing w:after="60"/>
        <w:jc w:val="left"/>
        <w:rPr>
          <w:color w:val="000000"/>
          <w:sz w:val="22"/>
          <w:szCs w:val="22"/>
        </w:rPr>
      </w:pPr>
      <w:r w:rsidRPr="00456116">
        <w:rPr>
          <w:color w:val="000000"/>
          <w:sz w:val="22"/>
          <w:szCs w:val="22"/>
        </w:rPr>
        <w:t>Licence Area Plan - Colac Radio - Variation No. 1 of 2013 [F2013L00266]</w:t>
      </w:r>
    </w:p>
    <w:p w:rsidR="000F073E" w:rsidRPr="00456116" w:rsidRDefault="000F073E" w:rsidP="000F073E">
      <w:pPr>
        <w:spacing w:after="60"/>
        <w:jc w:val="left"/>
        <w:rPr>
          <w:color w:val="000000"/>
          <w:sz w:val="22"/>
          <w:szCs w:val="22"/>
        </w:rPr>
      </w:pPr>
      <w:r w:rsidRPr="00456116">
        <w:rPr>
          <w:color w:val="000000"/>
          <w:sz w:val="22"/>
          <w:szCs w:val="22"/>
        </w:rPr>
        <w:t>Licence Area Plan - Mount Isa Radio - Variation No. 1 of 2013 [F2013L00259]</w:t>
      </w:r>
    </w:p>
    <w:p w:rsidR="000F073E" w:rsidRPr="00456116" w:rsidRDefault="000F073E" w:rsidP="000F073E">
      <w:pPr>
        <w:spacing w:after="60"/>
        <w:jc w:val="left"/>
        <w:rPr>
          <w:color w:val="000000"/>
          <w:sz w:val="22"/>
          <w:szCs w:val="22"/>
        </w:rPr>
      </w:pPr>
      <w:r w:rsidRPr="00456116">
        <w:rPr>
          <w:color w:val="000000"/>
          <w:sz w:val="22"/>
          <w:szCs w:val="22"/>
        </w:rPr>
        <w:t>Licence Area Plan - Nhulunbuy Radio - Variation No. 1 of 2013 [F2013L00261]</w:t>
      </w:r>
    </w:p>
    <w:p w:rsidR="000F073E" w:rsidRPr="00456116" w:rsidRDefault="000F073E" w:rsidP="000F073E">
      <w:pPr>
        <w:spacing w:after="60"/>
        <w:jc w:val="left"/>
        <w:rPr>
          <w:color w:val="000000"/>
          <w:sz w:val="22"/>
          <w:szCs w:val="22"/>
        </w:rPr>
      </w:pPr>
      <w:r w:rsidRPr="00456116">
        <w:rPr>
          <w:color w:val="000000"/>
          <w:sz w:val="22"/>
          <w:szCs w:val="22"/>
        </w:rPr>
        <w:t>Licence Area Plan - Wangaratta Radio - Variation No. 1 of 2013 [F2013L00263]</w:t>
      </w:r>
    </w:p>
    <w:p w:rsidR="000F073E" w:rsidRPr="00456116" w:rsidRDefault="000F073E" w:rsidP="000F073E">
      <w:pPr>
        <w:tabs>
          <w:tab w:val="left" w:pos="284"/>
        </w:tabs>
        <w:spacing w:before="120" w:after="120"/>
        <w:ind w:right="-329"/>
        <w:rPr>
          <w:sz w:val="24"/>
          <w:szCs w:val="24"/>
        </w:rPr>
      </w:pPr>
      <w:r w:rsidRPr="00456116">
        <w:rPr>
          <w:b/>
          <w:i/>
          <w:sz w:val="24"/>
          <w:szCs w:val="24"/>
        </w:rPr>
        <w:t>Civil Aviation Act 1988</w:t>
      </w:r>
    </w:p>
    <w:p w:rsidR="000F073E" w:rsidRPr="00456116" w:rsidRDefault="000F073E" w:rsidP="000F073E">
      <w:pPr>
        <w:spacing w:after="60"/>
        <w:jc w:val="left"/>
        <w:rPr>
          <w:color w:val="000000"/>
          <w:sz w:val="22"/>
          <w:szCs w:val="22"/>
        </w:rPr>
      </w:pPr>
      <w:r w:rsidRPr="00456116">
        <w:rPr>
          <w:color w:val="000000"/>
          <w:sz w:val="22"/>
          <w:szCs w:val="22"/>
        </w:rPr>
        <w:t>CASA ADCX 003/13 - Revocation of Airworthiness Directives [F2013L00246]</w:t>
      </w:r>
    </w:p>
    <w:p w:rsidR="000F073E" w:rsidRPr="00456116" w:rsidRDefault="000F073E" w:rsidP="000F073E">
      <w:pPr>
        <w:spacing w:after="60"/>
        <w:jc w:val="left"/>
        <w:rPr>
          <w:color w:val="000000"/>
          <w:sz w:val="22"/>
          <w:szCs w:val="22"/>
        </w:rPr>
      </w:pPr>
      <w:r w:rsidRPr="00456116">
        <w:rPr>
          <w:color w:val="000000"/>
          <w:sz w:val="22"/>
          <w:szCs w:val="22"/>
        </w:rPr>
        <w:t>CASA EX11/13 - Exemption - from recent experience requirements for air transport pilots [F2013L00260]</w:t>
      </w:r>
    </w:p>
    <w:p w:rsidR="000F073E" w:rsidRPr="00456116" w:rsidRDefault="000F073E" w:rsidP="000F073E">
      <w:pPr>
        <w:spacing w:after="60"/>
        <w:jc w:val="left"/>
        <w:rPr>
          <w:color w:val="000000"/>
          <w:sz w:val="22"/>
          <w:szCs w:val="22"/>
        </w:rPr>
      </w:pPr>
      <w:r w:rsidRPr="00456116">
        <w:rPr>
          <w:color w:val="000000"/>
          <w:sz w:val="22"/>
          <w:szCs w:val="22"/>
        </w:rPr>
        <w:t xml:space="preserve">CASA EX18/13 - Exemption - </w:t>
      </w:r>
      <w:proofErr w:type="spellStart"/>
      <w:r w:rsidRPr="00456116">
        <w:rPr>
          <w:color w:val="000000"/>
          <w:sz w:val="22"/>
          <w:szCs w:val="22"/>
        </w:rPr>
        <w:t>recency</w:t>
      </w:r>
      <w:proofErr w:type="spellEnd"/>
      <w:r w:rsidRPr="00456116">
        <w:rPr>
          <w:color w:val="000000"/>
          <w:sz w:val="22"/>
          <w:szCs w:val="22"/>
        </w:rPr>
        <w:t xml:space="preserve"> flying at night by holders of night V.F.R. agricultural ratings [F2013L00276]</w:t>
      </w:r>
    </w:p>
    <w:p w:rsidR="000F073E" w:rsidRPr="00456116" w:rsidRDefault="000F073E" w:rsidP="000F073E">
      <w:pPr>
        <w:tabs>
          <w:tab w:val="left" w:pos="284"/>
        </w:tabs>
        <w:spacing w:before="120" w:after="120"/>
        <w:ind w:right="-329"/>
        <w:rPr>
          <w:sz w:val="24"/>
          <w:szCs w:val="24"/>
        </w:rPr>
      </w:pPr>
      <w:r w:rsidRPr="00456116">
        <w:rPr>
          <w:b/>
          <w:i/>
          <w:sz w:val="24"/>
          <w:szCs w:val="24"/>
        </w:rPr>
        <w:t>Defence Act 1903</w:t>
      </w:r>
    </w:p>
    <w:p w:rsidR="000F073E" w:rsidRPr="00456116" w:rsidRDefault="000F073E" w:rsidP="000F073E">
      <w:pPr>
        <w:spacing w:after="60"/>
        <w:ind w:right="-46"/>
        <w:jc w:val="left"/>
        <w:rPr>
          <w:sz w:val="22"/>
          <w:szCs w:val="22"/>
        </w:rPr>
      </w:pPr>
      <w:r w:rsidRPr="00456116">
        <w:rPr>
          <w:sz w:val="22"/>
          <w:szCs w:val="22"/>
        </w:rPr>
        <w:t>Defence Determination 2013/7, Parental Leave – amendment</w:t>
      </w:r>
    </w:p>
    <w:p w:rsidR="000F073E" w:rsidRPr="00456116" w:rsidRDefault="000F073E" w:rsidP="000F073E">
      <w:pPr>
        <w:spacing w:after="60"/>
        <w:ind w:right="-46"/>
        <w:jc w:val="left"/>
        <w:rPr>
          <w:sz w:val="22"/>
          <w:szCs w:val="22"/>
        </w:rPr>
      </w:pPr>
      <w:r w:rsidRPr="00456116">
        <w:rPr>
          <w:sz w:val="22"/>
          <w:szCs w:val="22"/>
        </w:rPr>
        <w:t>Defence Determination 2013/8, Carer's leave, benchmark schools and approved clubs – amendment</w:t>
      </w:r>
    </w:p>
    <w:p w:rsidR="000F073E" w:rsidRPr="00456116" w:rsidRDefault="000F073E" w:rsidP="000F073E">
      <w:pPr>
        <w:spacing w:after="60"/>
        <w:ind w:right="-46"/>
        <w:jc w:val="left"/>
        <w:rPr>
          <w:sz w:val="22"/>
          <w:szCs w:val="22"/>
        </w:rPr>
      </w:pPr>
      <w:r w:rsidRPr="00456116">
        <w:rPr>
          <w:sz w:val="22"/>
          <w:szCs w:val="22"/>
        </w:rPr>
        <w:t>Defence Determination 2013/9, Tertiary education assistance – amendment</w:t>
      </w:r>
    </w:p>
    <w:p w:rsidR="000F073E" w:rsidRPr="00456116" w:rsidRDefault="000F073E" w:rsidP="000F073E">
      <w:pPr>
        <w:spacing w:after="60"/>
        <w:ind w:right="-46"/>
        <w:jc w:val="left"/>
        <w:rPr>
          <w:sz w:val="22"/>
          <w:szCs w:val="22"/>
        </w:rPr>
      </w:pPr>
      <w:r w:rsidRPr="00456116">
        <w:rPr>
          <w:sz w:val="22"/>
          <w:szCs w:val="22"/>
        </w:rPr>
        <w:t>Defence Determination 2013/10, Contribution for living-in accommodation – amendment</w:t>
      </w:r>
    </w:p>
    <w:p w:rsidR="000F073E" w:rsidRPr="00456116" w:rsidRDefault="000F073E" w:rsidP="000F073E">
      <w:pPr>
        <w:spacing w:after="60"/>
        <w:ind w:right="-46"/>
        <w:jc w:val="left"/>
        <w:rPr>
          <w:sz w:val="22"/>
          <w:szCs w:val="22"/>
        </w:rPr>
      </w:pPr>
      <w:r w:rsidRPr="00456116">
        <w:rPr>
          <w:sz w:val="22"/>
          <w:szCs w:val="22"/>
        </w:rPr>
        <w:t>Defence Determination 2013/11, Hardship post conditions of service – amendment</w:t>
      </w:r>
    </w:p>
    <w:p w:rsidR="000F073E" w:rsidRPr="00456116" w:rsidRDefault="000F073E" w:rsidP="000F073E">
      <w:pPr>
        <w:spacing w:after="60"/>
        <w:ind w:right="-46"/>
        <w:jc w:val="left"/>
        <w:rPr>
          <w:sz w:val="22"/>
          <w:szCs w:val="22"/>
        </w:rPr>
      </w:pPr>
      <w:r w:rsidRPr="00456116">
        <w:rPr>
          <w:sz w:val="22"/>
          <w:szCs w:val="22"/>
        </w:rPr>
        <w:t xml:space="preserve">Defence Determination 2013/12, </w:t>
      </w:r>
      <w:proofErr w:type="gramStart"/>
      <w:r w:rsidRPr="00456116">
        <w:rPr>
          <w:sz w:val="22"/>
          <w:szCs w:val="22"/>
        </w:rPr>
        <w:t>Overseas</w:t>
      </w:r>
      <w:proofErr w:type="gramEnd"/>
      <w:r w:rsidRPr="00456116">
        <w:rPr>
          <w:sz w:val="22"/>
          <w:szCs w:val="22"/>
        </w:rPr>
        <w:t xml:space="preserve"> education assistance - amendment</w:t>
      </w:r>
    </w:p>
    <w:p w:rsidR="000F073E" w:rsidRPr="00456116" w:rsidRDefault="000F073E" w:rsidP="000F073E">
      <w:pPr>
        <w:tabs>
          <w:tab w:val="left" w:pos="284"/>
        </w:tabs>
        <w:spacing w:before="120" w:after="120"/>
        <w:ind w:right="-45"/>
        <w:rPr>
          <w:sz w:val="24"/>
          <w:szCs w:val="24"/>
        </w:rPr>
      </w:pPr>
      <w:r>
        <w:rPr>
          <w:b/>
          <w:i/>
        </w:rPr>
        <w:br w:type="page"/>
      </w:r>
      <w:r w:rsidRPr="00456116">
        <w:rPr>
          <w:b/>
          <w:i/>
          <w:sz w:val="24"/>
          <w:szCs w:val="24"/>
        </w:rPr>
        <w:lastRenderedPageBreak/>
        <w:t>Environment Protection and Biodiversity Conservation Act 1999</w:t>
      </w:r>
    </w:p>
    <w:p w:rsidR="000F073E" w:rsidRPr="00456116" w:rsidRDefault="000F073E" w:rsidP="000F073E">
      <w:pPr>
        <w:spacing w:after="60"/>
        <w:jc w:val="left"/>
        <w:rPr>
          <w:color w:val="000000"/>
          <w:sz w:val="22"/>
          <w:szCs w:val="22"/>
        </w:rPr>
      </w:pPr>
      <w:r w:rsidRPr="00456116">
        <w:rPr>
          <w:color w:val="000000"/>
          <w:sz w:val="22"/>
          <w:szCs w:val="22"/>
        </w:rPr>
        <w:t xml:space="preserve">Amendment of List of Exempt Native Specimens - Southern and Eastern </w:t>
      </w:r>
      <w:proofErr w:type="spellStart"/>
      <w:r w:rsidRPr="00456116">
        <w:rPr>
          <w:color w:val="000000"/>
          <w:sz w:val="22"/>
          <w:szCs w:val="22"/>
        </w:rPr>
        <w:t>Scalefish</w:t>
      </w:r>
      <w:proofErr w:type="spellEnd"/>
      <w:r w:rsidRPr="00456116">
        <w:rPr>
          <w:color w:val="000000"/>
          <w:sz w:val="22"/>
          <w:szCs w:val="22"/>
        </w:rPr>
        <w:t xml:space="preserve"> and Shark Fishery (25/02/2013) (deletion) [F2013L00346]</w:t>
      </w:r>
    </w:p>
    <w:p w:rsidR="000F073E" w:rsidRPr="00456116" w:rsidRDefault="000F073E" w:rsidP="000F073E">
      <w:pPr>
        <w:spacing w:after="60"/>
        <w:jc w:val="left"/>
        <w:rPr>
          <w:color w:val="000000"/>
          <w:sz w:val="22"/>
          <w:szCs w:val="22"/>
        </w:rPr>
      </w:pPr>
      <w:r w:rsidRPr="00456116">
        <w:rPr>
          <w:color w:val="000000"/>
          <w:sz w:val="22"/>
          <w:szCs w:val="22"/>
        </w:rPr>
        <w:t xml:space="preserve">Amendment of List of Exempt Native Specimens - Southern and Eastern </w:t>
      </w:r>
      <w:proofErr w:type="spellStart"/>
      <w:r w:rsidRPr="00456116">
        <w:rPr>
          <w:color w:val="000000"/>
          <w:sz w:val="22"/>
          <w:szCs w:val="22"/>
        </w:rPr>
        <w:t>Scalefish</w:t>
      </w:r>
      <w:proofErr w:type="spellEnd"/>
      <w:r w:rsidRPr="00456116">
        <w:rPr>
          <w:color w:val="000000"/>
          <w:sz w:val="22"/>
          <w:szCs w:val="22"/>
        </w:rPr>
        <w:t xml:space="preserve"> and Shark Fishery (25/02/2013) (inclusion) [F2013L00345]</w:t>
      </w:r>
    </w:p>
    <w:p w:rsidR="000F073E" w:rsidRPr="00456116" w:rsidRDefault="000F073E" w:rsidP="000F073E">
      <w:pPr>
        <w:spacing w:after="60"/>
        <w:jc w:val="left"/>
        <w:rPr>
          <w:color w:val="000000"/>
          <w:sz w:val="22"/>
          <w:szCs w:val="22"/>
        </w:rPr>
      </w:pPr>
      <w:r w:rsidRPr="00456116">
        <w:rPr>
          <w:color w:val="000000"/>
          <w:sz w:val="22"/>
          <w:szCs w:val="22"/>
        </w:rPr>
        <w:t>Amendment of List of Exempt Native Specimens - Tasmanian Giant Crab Fishery (22/02/2013) (deletion) [F2013L00291]</w:t>
      </w:r>
    </w:p>
    <w:p w:rsidR="000F073E" w:rsidRPr="00456116" w:rsidRDefault="000F073E" w:rsidP="000F073E">
      <w:pPr>
        <w:spacing w:after="60"/>
        <w:jc w:val="left"/>
        <w:rPr>
          <w:color w:val="000000"/>
          <w:sz w:val="22"/>
          <w:szCs w:val="22"/>
        </w:rPr>
      </w:pPr>
      <w:r w:rsidRPr="00456116">
        <w:rPr>
          <w:color w:val="000000"/>
          <w:sz w:val="22"/>
          <w:szCs w:val="22"/>
        </w:rPr>
        <w:t>Amendment of List of Exempt Native Specimens - Tasmanian Giant Crab Fishery (22/02/2013) (inclusion) [F2013L00293]</w:t>
      </w:r>
    </w:p>
    <w:p w:rsidR="000F073E" w:rsidRPr="00456116" w:rsidRDefault="000F073E" w:rsidP="000F073E">
      <w:pPr>
        <w:spacing w:after="60"/>
        <w:jc w:val="left"/>
        <w:rPr>
          <w:color w:val="000000"/>
          <w:sz w:val="22"/>
          <w:szCs w:val="22"/>
        </w:rPr>
      </w:pPr>
      <w:r w:rsidRPr="00456116">
        <w:rPr>
          <w:color w:val="000000"/>
          <w:sz w:val="22"/>
          <w:szCs w:val="22"/>
        </w:rPr>
        <w:t>Amendment to the list of threatened species under section 178 of the Environment Protection and Biodiversity Conservation Act 1999 (121) (30/01/2013) [F2013L00281]</w:t>
      </w:r>
    </w:p>
    <w:p w:rsidR="000F073E" w:rsidRPr="00456116" w:rsidRDefault="000F073E" w:rsidP="000F073E">
      <w:pPr>
        <w:spacing w:after="60"/>
        <w:jc w:val="left"/>
        <w:rPr>
          <w:color w:val="000000"/>
          <w:sz w:val="22"/>
          <w:szCs w:val="22"/>
        </w:rPr>
      </w:pPr>
      <w:r w:rsidRPr="00456116">
        <w:rPr>
          <w:color w:val="000000"/>
          <w:sz w:val="22"/>
          <w:szCs w:val="22"/>
        </w:rPr>
        <w:t>Amendment to the list of threatened species under section 178 of the Environment Protection and Biodiversity Conservation Act 1999 (</w:t>
      </w:r>
      <w:proofErr w:type="spellStart"/>
      <w:r w:rsidRPr="00456116">
        <w:rPr>
          <w:color w:val="000000"/>
          <w:sz w:val="22"/>
          <w:szCs w:val="22"/>
        </w:rPr>
        <w:t>Cth</w:t>
      </w:r>
      <w:proofErr w:type="spellEnd"/>
      <w:r w:rsidRPr="00456116">
        <w:rPr>
          <w:color w:val="000000"/>
          <w:sz w:val="22"/>
          <w:szCs w:val="22"/>
        </w:rPr>
        <w:t>) (137) (30/01/2013) [F2013L00271]</w:t>
      </w:r>
    </w:p>
    <w:p w:rsidR="000F073E" w:rsidRPr="00456116" w:rsidRDefault="000F073E" w:rsidP="000F073E">
      <w:pPr>
        <w:spacing w:after="60"/>
        <w:jc w:val="left"/>
        <w:rPr>
          <w:color w:val="000000"/>
          <w:sz w:val="22"/>
          <w:szCs w:val="22"/>
        </w:rPr>
      </w:pPr>
      <w:r w:rsidRPr="00456116">
        <w:rPr>
          <w:color w:val="000000"/>
          <w:sz w:val="22"/>
          <w:szCs w:val="22"/>
        </w:rPr>
        <w:t>Environment Protection and Biodiversity Conservation Act 1999 - section 269A - Instrument revoking and making recovery plan (Conservation Management Plan for the Southern Right Whale) (05/02/2013) [F2013L00289]</w:t>
      </w:r>
    </w:p>
    <w:p w:rsidR="000F073E" w:rsidRPr="00456116" w:rsidRDefault="000F073E" w:rsidP="000F073E">
      <w:pPr>
        <w:spacing w:after="60"/>
        <w:jc w:val="left"/>
        <w:rPr>
          <w:color w:val="000000"/>
          <w:sz w:val="22"/>
          <w:szCs w:val="22"/>
        </w:rPr>
      </w:pPr>
      <w:r w:rsidRPr="00456116">
        <w:rPr>
          <w:color w:val="000000"/>
          <w:sz w:val="22"/>
          <w:szCs w:val="22"/>
        </w:rPr>
        <w:t>Inclusion in the list of key threatening processes under section 183 of the Environment Protection and Biodiversity Conservation Act 1999 (15) (23/01/2013) [F2013L00285]</w:t>
      </w:r>
    </w:p>
    <w:p w:rsidR="000F073E" w:rsidRPr="00456116" w:rsidRDefault="000F073E" w:rsidP="000F073E">
      <w:pPr>
        <w:spacing w:after="60"/>
        <w:jc w:val="left"/>
        <w:rPr>
          <w:color w:val="000000"/>
          <w:sz w:val="22"/>
          <w:szCs w:val="22"/>
        </w:rPr>
      </w:pPr>
      <w:r w:rsidRPr="00456116">
        <w:rPr>
          <w:color w:val="000000"/>
          <w:sz w:val="22"/>
          <w:szCs w:val="22"/>
        </w:rPr>
        <w:t>Inclusion of ecological communities in the list of threatened ecological communities under section 181 of the Environment Protection and Biodiversity Conservation Act 1999 - Monsoon vine thickets on the coastal sand dunes of Dampier Peninsula (EC 105) (14/02/2013) [F2013L00299]</w:t>
      </w:r>
    </w:p>
    <w:p w:rsidR="000F073E" w:rsidRPr="00456116" w:rsidRDefault="000F073E" w:rsidP="000F073E">
      <w:pPr>
        <w:spacing w:after="60"/>
        <w:jc w:val="left"/>
        <w:rPr>
          <w:color w:val="000000"/>
          <w:sz w:val="22"/>
          <w:szCs w:val="22"/>
        </w:rPr>
      </w:pPr>
      <w:r w:rsidRPr="00456116">
        <w:rPr>
          <w:color w:val="000000"/>
          <w:sz w:val="22"/>
          <w:szCs w:val="22"/>
        </w:rPr>
        <w:t>Inclusion of ecological communities in the list of threatened ecological communities under section 181 of the Environment Protection and Biodiversity Conservation Act 1999 - Western Sydney Dry Rainforest and Moist Woodland on Shale (EC 106) (13/11/2012) [F2013L00298]</w:t>
      </w:r>
    </w:p>
    <w:p w:rsidR="000F073E" w:rsidRPr="00456116" w:rsidRDefault="000F073E" w:rsidP="000F073E">
      <w:pPr>
        <w:spacing w:after="60"/>
        <w:jc w:val="left"/>
        <w:rPr>
          <w:color w:val="000000"/>
          <w:sz w:val="22"/>
          <w:szCs w:val="22"/>
        </w:rPr>
      </w:pPr>
      <w:r w:rsidRPr="00456116">
        <w:rPr>
          <w:color w:val="000000"/>
          <w:sz w:val="22"/>
          <w:szCs w:val="22"/>
        </w:rPr>
        <w:t>Interim (Small Pelagic Fishery) Declaration (No. 2) 2013 [F2013L00294]</w:t>
      </w:r>
    </w:p>
    <w:p w:rsidR="000F073E" w:rsidRPr="00456116" w:rsidRDefault="000F073E" w:rsidP="000F073E">
      <w:pPr>
        <w:tabs>
          <w:tab w:val="left" w:pos="284"/>
        </w:tabs>
        <w:spacing w:before="120" w:after="120"/>
        <w:ind w:right="-329"/>
        <w:rPr>
          <w:sz w:val="24"/>
          <w:szCs w:val="24"/>
        </w:rPr>
      </w:pPr>
      <w:r w:rsidRPr="00456116">
        <w:rPr>
          <w:b/>
          <w:i/>
          <w:sz w:val="24"/>
          <w:szCs w:val="24"/>
        </w:rPr>
        <w:t>Export Control Act 1982</w:t>
      </w:r>
    </w:p>
    <w:p w:rsidR="000F073E" w:rsidRPr="003F1DC6" w:rsidRDefault="000F073E" w:rsidP="000F073E">
      <w:pPr>
        <w:spacing w:after="60"/>
        <w:jc w:val="left"/>
        <w:rPr>
          <w:color w:val="000000"/>
          <w:sz w:val="20"/>
        </w:rPr>
      </w:pPr>
      <w:r w:rsidRPr="003F1DC6">
        <w:rPr>
          <w:color w:val="000000"/>
          <w:sz w:val="20"/>
        </w:rPr>
        <w:t>Export Control (Prescribed Goods - General) Amendment Order 2013 (No</w:t>
      </w:r>
      <w:proofErr w:type="gramStart"/>
      <w:r w:rsidRPr="003F1DC6">
        <w:rPr>
          <w:color w:val="000000"/>
          <w:sz w:val="20"/>
        </w:rPr>
        <w:t>. )</w:t>
      </w:r>
      <w:proofErr w:type="gramEnd"/>
      <w:r w:rsidRPr="003F1DC6">
        <w:rPr>
          <w:color w:val="000000"/>
          <w:sz w:val="20"/>
        </w:rPr>
        <w:t xml:space="preserve"> [F2013L00251]</w:t>
      </w:r>
    </w:p>
    <w:p w:rsidR="000F073E" w:rsidRPr="00456116" w:rsidRDefault="000F073E" w:rsidP="000F073E">
      <w:pPr>
        <w:tabs>
          <w:tab w:val="left" w:pos="284"/>
        </w:tabs>
        <w:spacing w:before="120" w:after="120"/>
        <w:ind w:right="-329"/>
        <w:rPr>
          <w:sz w:val="24"/>
          <w:szCs w:val="24"/>
        </w:rPr>
      </w:pPr>
      <w:r w:rsidRPr="00456116">
        <w:rPr>
          <w:b/>
          <w:i/>
          <w:sz w:val="24"/>
          <w:szCs w:val="24"/>
        </w:rPr>
        <w:t>Export Market Development Grants Act 1997</w:t>
      </w:r>
    </w:p>
    <w:p w:rsidR="000F073E" w:rsidRPr="003F1DC6" w:rsidRDefault="000F073E" w:rsidP="000F073E">
      <w:pPr>
        <w:spacing w:after="60"/>
        <w:jc w:val="left"/>
        <w:rPr>
          <w:color w:val="000000"/>
          <w:sz w:val="20"/>
        </w:rPr>
      </w:pPr>
      <w:r w:rsidRPr="003F1DC6">
        <w:rPr>
          <w:color w:val="000000"/>
          <w:sz w:val="20"/>
        </w:rPr>
        <w:t>Export Market Development Grants (Extended Lodgement and Consultant Quality Incentive) Determination 2012 [F2013L00258]</w:t>
      </w:r>
    </w:p>
    <w:p w:rsidR="000F073E" w:rsidRPr="00456116" w:rsidRDefault="000F073E" w:rsidP="000F073E">
      <w:pPr>
        <w:tabs>
          <w:tab w:val="left" w:pos="284"/>
        </w:tabs>
        <w:spacing w:before="120" w:after="120"/>
        <w:ind w:right="-329"/>
        <w:rPr>
          <w:sz w:val="24"/>
          <w:szCs w:val="24"/>
        </w:rPr>
      </w:pPr>
      <w:r w:rsidRPr="00456116">
        <w:rPr>
          <w:b/>
          <w:i/>
          <w:sz w:val="24"/>
          <w:szCs w:val="24"/>
        </w:rPr>
        <w:t>Financial Sector (Collection of Data) Act 2001</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4 of 2013 - GRS 112.3 - Related Party Exposures [F2013L00352]</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6 of 2013 - GRS 114.1 - Assets by Counterparty Grade [F2013L00355]</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8 of 2013 - GRS 114.3 - Off-balance Sheet Business [F2013L00360]</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16 of 2013 - GRS 300.0 - Statement of Financial Position [F2013L00367]</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22 of 2013 - GRS 410.0 - Movement in Outstanding Claims Liabilities [F2013L00361]</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23 of 2013 - GRS 420.0 - Premium Revenue by State and Territory of Australia [F2013L00362]</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24 of 2013 - GRS 430.0 - Claims Expense by State and Territory of Australia [F2013L00364]</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25 of 2013 - GRS 440.0 - Claims Development Table [F2013L00353]</w:t>
      </w:r>
    </w:p>
    <w:p w:rsidR="000F073E" w:rsidRPr="00456116" w:rsidRDefault="000F073E" w:rsidP="000F073E">
      <w:pPr>
        <w:spacing w:after="60"/>
        <w:jc w:val="left"/>
        <w:rPr>
          <w:color w:val="000000"/>
          <w:sz w:val="22"/>
          <w:szCs w:val="22"/>
        </w:rPr>
      </w:pPr>
      <w:r w:rsidRPr="00456116">
        <w:rPr>
          <w:color w:val="000000"/>
          <w:sz w:val="22"/>
          <w:szCs w:val="22"/>
        </w:rPr>
        <w:lastRenderedPageBreak/>
        <w:t>Financial Sector (Collection of Data) (reporting standard) determination No. 30 of 2013 - GRS 114.0_G Asset Risk Charge (Level 2 Insurance Group) [F2013L00354]</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31 of 2013 - GRS 114.1_G Assets by Counterparty Grade (Level 2 Insurance Group) [F2013L00356]</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35 of 2013 - GRS 116.0_G - Insurance Concentration Risk Charge (Level 2 Insurance Group) [F2013L00358]</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38 of 2013 - GRS 300.0_G Statement of Financial Position (Level 2 Insurance Group) [F2013L00359]</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44 of 2013 - LRS 112.0 - Determination of Capital Base [F2013L00366]</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45 of 2013 - LRS 112.3 - Related Party Exposures [F2013L00363]</w:t>
      </w:r>
    </w:p>
    <w:p w:rsidR="000F073E" w:rsidRPr="00456116" w:rsidRDefault="000F073E" w:rsidP="000F073E">
      <w:pPr>
        <w:spacing w:after="60"/>
        <w:jc w:val="left"/>
        <w:rPr>
          <w:color w:val="000000"/>
          <w:sz w:val="22"/>
          <w:szCs w:val="22"/>
        </w:rPr>
      </w:pPr>
      <w:r w:rsidRPr="00456116">
        <w:rPr>
          <w:color w:val="000000"/>
          <w:sz w:val="22"/>
          <w:szCs w:val="22"/>
        </w:rPr>
        <w:t>Financial Sector (Collection of Data) (reporting standard) determination No. 46 of 2013 - LRS 114.00 - Asset Risk Charge [F2013L00365]</w:t>
      </w:r>
    </w:p>
    <w:p w:rsidR="000F073E" w:rsidRPr="00456116" w:rsidRDefault="000F073E" w:rsidP="000F073E">
      <w:pPr>
        <w:tabs>
          <w:tab w:val="left" w:pos="284"/>
        </w:tabs>
        <w:spacing w:before="120" w:after="120"/>
        <w:ind w:right="-329"/>
        <w:rPr>
          <w:sz w:val="24"/>
          <w:szCs w:val="24"/>
        </w:rPr>
      </w:pPr>
      <w:r w:rsidRPr="00456116">
        <w:rPr>
          <w:b/>
          <w:i/>
          <w:sz w:val="24"/>
          <w:szCs w:val="24"/>
        </w:rPr>
        <w:t>Fisheries Management Act 1991</w:t>
      </w:r>
    </w:p>
    <w:p w:rsidR="000F073E" w:rsidRPr="00456116" w:rsidRDefault="000F073E" w:rsidP="000F073E">
      <w:pPr>
        <w:spacing w:after="60"/>
        <w:jc w:val="left"/>
        <w:rPr>
          <w:color w:val="000000"/>
          <w:sz w:val="22"/>
          <w:szCs w:val="22"/>
        </w:rPr>
      </w:pPr>
      <w:r w:rsidRPr="00456116">
        <w:rPr>
          <w:color w:val="000000"/>
          <w:sz w:val="22"/>
          <w:szCs w:val="22"/>
        </w:rPr>
        <w:t xml:space="preserve">2013 Eastern Tuna and Billfish Fishery </w:t>
      </w:r>
      <w:proofErr w:type="spellStart"/>
      <w:r w:rsidRPr="00456116">
        <w:rPr>
          <w:color w:val="000000"/>
          <w:sz w:val="22"/>
          <w:szCs w:val="22"/>
        </w:rPr>
        <w:t>Overcatch</w:t>
      </w:r>
      <w:proofErr w:type="spellEnd"/>
      <w:r w:rsidRPr="00456116">
        <w:rPr>
          <w:color w:val="000000"/>
          <w:sz w:val="22"/>
          <w:szCs w:val="22"/>
        </w:rPr>
        <w:t xml:space="preserve"> and </w:t>
      </w:r>
      <w:proofErr w:type="spellStart"/>
      <w:r w:rsidRPr="00456116">
        <w:rPr>
          <w:color w:val="000000"/>
          <w:sz w:val="22"/>
          <w:szCs w:val="22"/>
        </w:rPr>
        <w:t>Undercatch</w:t>
      </w:r>
      <w:proofErr w:type="spellEnd"/>
      <w:r w:rsidRPr="00456116">
        <w:rPr>
          <w:color w:val="000000"/>
          <w:sz w:val="22"/>
          <w:szCs w:val="22"/>
        </w:rPr>
        <w:t xml:space="preserve"> Determination [F2013L00357]</w:t>
      </w:r>
    </w:p>
    <w:p w:rsidR="000F073E" w:rsidRPr="00456116" w:rsidRDefault="000F073E" w:rsidP="000F073E">
      <w:pPr>
        <w:tabs>
          <w:tab w:val="left" w:pos="284"/>
        </w:tabs>
        <w:spacing w:before="120" w:after="120"/>
        <w:ind w:right="-329"/>
        <w:rPr>
          <w:sz w:val="24"/>
          <w:szCs w:val="24"/>
        </w:rPr>
      </w:pPr>
      <w:r w:rsidRPr="00456116">
        <w:rPr>
          <w:b/>
          <w:i/>
          <w:sz w:val="24"/>
          <w:szCs w:val="24"/>
        </w:rPr>
        <w:t>Health Insurance Act 1973</w:t>
      </w:r>
    </w:p>
    <w:p w:rsidR="000F073E" w:rsidRPr="00456116" w:rsidRDefault="000F073E" w:rsidP="000F073E">
      <w:pPr>
        <w:spacing w:after="60"/>
        <w:jc w:val="left"/>
        <w:rPr>
          <w:color w:val="000000"/>
          <w:sz w:val="22"/>
          <w:szCs w:val="22"/>
        </w:rPr>
      </w:pPr>
      <w:r w:rsidRPr="00456116">
        <w:rPr>
          <w:color w:val="000000"/>
          <w:sz w:val="22"/>
          <w:szCs w:val="22"/>
        </w:rPr>
        <w:t xml:space="preserve">Health Insurance (B-Scan Ultrasonography and Holmium: YAG Laser </w:t>
      </w:r>
      <w:proofErr w:type="spellStart"/>
      <w:r w:rsidRPr="00456116">
        <w:rPr>
          <w:color w:val="000000"/>
          <w:sz w:val="22"/>
          <w:szCs w:val="22"/>
        </w:rPr>
        <w:t>Enucleation</w:t>
      </w:r>
      <w:proofErr w:type="spellEnd"/>
      <w:r w:rsidRPr="00456116">
        <w:rPr>
          <w:color w:val="000000"/>
          <w:sz w:val="22"/>
          <w:szCs w:val="22"/>
        </w:rPr>
        <w:t xml:space="preserve"> of the Prostate) Determination 2013 [F2013L00350]</w:t>
      </w:r>
    </w:p>
    <w:p w:rsidR="000F073E" w:rsidRPr="00456116" w:rsidRDefault="000F073E" w:rsidP="000F073E">
      <w:pPr>
        <w:tabs>
          <w:tab w:val="left" w:pos="284"/>
        </w:tabs>
        <w:spacing w:before="120" w:after="120"/>
        <w:ind w:right="-329"/>
        <w:rPr>
          <w:sz w:val="24"/>
          <w:szCs w:val="24"/>
        </w:rPr>
      </w:pPr>
      <w:r w:rsidRPr="00456116">
        <w:rPr>
          <w:b/>
          <w:i/>
          <w:sz w:val="24"/>
          <w:szCs w:val="24"/>
        </w:rPr>
        <w:t>Higher Education Support Act 2003</w:t>
      </w:r>
    </w:p>
    <w:p w:rsidR="000F073E" w:rsidRPr="00456116" w:rsidRDefault="000F073E" w:rsidP="000F073E">
      <w:pPr>
        <w:spacing w:after="60"/>
        <w:jc w:val="left"/>
        <w:rPr>
          <w:color w:val="000000"/>
          <w:sz w:val="22"/>
          <w:szCs w:val="22"/>
        </w:rPr>
      </w:pPr>
      <w:r w:rsidRPr="00456116">
        <w:rPr>
          <w:color w:val="000000"/>
          <w:sz w:val="22"/>
          <w:szCs w:val="22"/>
        </w:rPr>
        <w:t>Higher Education Support Act 2003 - VET Provider Approval (No. 6 of 2013) [F2013L00243]</w:t>
      </w:r>
    </w:p>
    <w:p w:rsidR="000F073E" w:rsidRPr="00456116" w:rsidRDefault="000F073E" w:rsidP="000F073E">
      <w:pPr>
        <w:spacing w:after="60"/>
        <w:jc w:val="left"/>
        <w:rPr>
          <w:color w:val="000000"/>
          <w:sz w:val="22"/>
          <w:szCs w:val="22"/>
        </w:rPr>
      </w:pPr>
      <w:r w:rsidRPr="00456116">
        <w:rPr>
          <w:color w:val="000000"/>
          <w:sz w:val="22"/>
          <w:szCs w:val="22"/>
        </w:rPr>
        <w:t>Higher Education Support Act 2003 - VET Provider Approval (No. 7 of 2013) [F2013L00244]</w:t>
      </w:r>
    </w:p>
    <w:p w:rsidR="000F073E" w:rsidRPr="00456116" w:rsidRDefault="000F073E" w:rsidP="000F073E">
      <w:pPr>
        <w:tabs>
          <w:tab w:val="left" w:pos="284"/>
        </w:tabs>
        <w:spacing w:before="120" w:after="120"/>
        <w:ind w:right="-329"/>
        <w:rPr>
          <w:sz w:val="24"/>
          <w:szCs w:val="24"/>
        </w:rPr>
      </w:pPr>
      <w:r w:rsidRPr="00456116">
        <w:rPr>
          <w:b/>
          <w:i/>
          <w:sz w:val="24"/>
          <w:szCs w:val="24"/>
        </w:rPr>
        <w:t>National Health Act 1953</w:t>
      </w:r>
    </w:p>
    <w:p w:rsidR="000F073E" w:rsidRPr="00456116" w:rsidRDefault="000F073E" w:rsidP="000F073E">
      <w:pPr>
        <w:spacing w:after="60"/>
        <w:jc w:val="left"/>
        <w:rPr>
          <w:color w:val="000000"/>
          <w:sz w:val="22"/>
          <w:szCs w:val="22"/>
        </w:rPr>
      </w:pPr>
      <w:proofErr w:type="gramStart"/>
      <w:r w:rsidRPr="00456116">
        <w:rPr>
          <w:color w:val="000000"/>
          <w:sz w:val="22"/>
          <w:szCs w:val="22"/>
        </w:rPr>
        <w:t>National Health (Efficient Funding of Chemotherapy) Special Arrangement Amendment Instrument 2013 (No. 2) (No.</w:t>
      </w:r>
      <w:proofErr w:type="gramEnd"/>
      <w:r w:rsidRPr="00456116">
        <w:rPr>
          <w:color w:val="000000"/>
          <w:sz w:val="22"/>
          <w:szCs w:val="22"/>
        </w:rPr>
        <w:t xml:space="preserve"> PB 11 of 2013) [F2013L00254]</w:t>
      </w:r>
    </w:p>
    <w:p w:rsidR="000F073E" w:rsidRPr="00456116" w:rsidRDefault="000F073E" w:rsidP="000F073E">
      <w:pPr>
        <w:spacing w:after="60"/>
        <w:jc w:val="left"/>
        <w:rPr>
          <w:color w:val="000000"/>
          <w:sz w:val="22"/>
          <w:szCs w:val="22"/>
        </w:rPr>
      </w:pPr>
      <w:r w:rsidRPr="00456116">
        <w:rPr>
          <w:color w:val="000000"/>
          <w:sz w:val="22"/>
          <w:szCs w:val="22"/>
        </w:rPr>
        <w:t>National Health (Highly specialised drugs program for hospitals) Special Arrangement Amendment Instrument 2013 (No. 1) (No. PB 10 of 2013) [F2013L00245]</w:t>
      </w:r>
    </w:p>
    <w:p w:rsidR="000F073E" w:rsidRPr="00456116" w:rsidRDefault="000F073E" w:rsidP="000F073E">
      <w:pPr>
        <w:spacing w:after="60"/>
        <w:jc w:val="left"/>
        <w:rPr>
          <w:color w:val="000000"/>
          <w:sz w:val="22"/>
          <w:szCs w:val="22"/>
        </w:rPr>
      </w:pPr>
      <w:r w:rsidRPr="00456116">
        <w:rPr>
          <w:color w:val="000000"/>
          <w:sz w:val="22"/>
          <w:szCs w:val="22"/>
        </w:rPr>
        <w:t>National Health (Listed drugs on F1 or F2) Amendment Determination 2013 (No. 1) (No. PB 12 of 2013) [F2013L00329]</w:t>
      </w:r>
    </w:p>
    <w:p w:rsidR="000F073E" w:rsidRPr="00456116" w:rsidRDefault="000F073E" w:rsidP="000F073E">
      <w:pPr>
        <w:spacing w:after="60"/>
        <w:jc w:val="left"/>
        <w:rPr>
          <w:color w:val="000000"/>
          <w:sz w:val="22"/>
          <w:szCs w:val="22"/>
        </w:rPr>
      </w:pPr>
      <w:r w:rsidRPr="00456116">
        <w:rPr>
          <w:color w:val="000000"/>
          <w:sz w:val="22"/>
          <w:szCs w:val="22"/>
        </w:rPr>
        <w:t xml:space="preserve">National Health Act (Pharmaceutical Benefits - Early Supply) Amendment March 2013 - specification under subsection </w:t>
      </w:r>
      <w:proofErr w:type="gramStart"/>
      <w:r w:rsidRPr="00456116">
        <w:rPr>
          <w:color w:val="000000"/>
          <w:sz w:val="22"/>
          <w:szCs w:val="22"/>
        </w:rPr>
        <w:t>84AAA(</w:t>
      </w:r>
      <w:proofErr w:type="gramEnd"/>
      <w:r w:rsidRPr="00456116">
        <w:rPr>
          <w:color w:val="000000"/>
          <w:sz w:val="22"/>
          <w:szCs w:val="22"/>
        </w:rPr>
        <w:t>2) (No. PB 13 of 2013) [F2013L00275]</w:t>
      </w:r>
    </w:p>
    <w:p w:rsidR="000F073E" w:rsidRPr="0027748C" w:rsidRDefault="000F073E" w:rsidP="000F073E">
      <w:pPr>
        <w:tabs>
          <w:tab w:val="left" w:pos="284"/>
        </w:tabs>
        <w:spacing w:before="120" w:after="120"/>
        <w:ind w:right="-329"/>
        <w:rPr>
          <w:sz w:val="24"/>
          <w:szCs w:val="24"/>
        </w:rPr>
      </w:pPr>
      <w:r w:rsidRPr="0027748C">
        <w:rPr>
          <w:b/>
          <w:i/>
          <w:sz w:val="24"/>
          <w:szCs w:val="24"/>
        </w:rPr>
        <w:t>Private Health Insurance Act 2007</w:t>
      </w:r>
    </w:p>
    <w:p w:rsidR="000F073E" w:rsidRPr="0027748C" w:rsidRDefault="000F073E" w:rsidP="000F073E">
      <w:pPr>
        <w:spacing w:after="60"/>
        <w:jc w:val="left"/>
        <w:rPr>
          <w:color w:val="000000"/>
          <w:sz w:val="22"/>
          <w:szCs w:val="22"/>
        </w:rPr>
      </w:pPr>
      <w:r w:rsidRPr="0027748C">
        <w:rPr>
          <w:color w:val="000000"/>
          <w:sz w:val="22"/>
          <w:szCs w:val="22"/>
        </w:rPr>
        <w:t>Private Health Insurance (Prostheses) Amendment Rules 2013 (No. 2) [F2013L00265]</w:t>
      </w:r>
    </w:p>
    <w:p w:rsidR="000F073E" w:rsidRPr="0027748C" w:rsidRDefault="000F073E" w:rsidP="000F073E">
      <w:pPr>
        <w:tabs>
          <w:tab w:val="left" w:pos="284"/>
        </w:tabs>
        <w:spacing w:before="120" w:after="120"/>
        <w:ind w:right="-330"/>
        <w:rPr>
          <w:sz w:val="24"/>
          <w:szCs w:val="24"/>
        </w:rPr>
      </w:pPr>
      <w:r w:rsidRPr="0027748C">
        <w:rPr>
          <w:b/>
          <w:i/>
          <w:sz w:val="24"/>
          <w:szCs w:val="24"/>
        </w:rPr>
        <w:t>Remuneration Tribunal Act 1973</w:t>
      </w:r>
    </w:p>
    <w:p w:rsidR="000F073E" w:rsidRPr="0027748C" w:rsidRDefault="000F073E" w:rsidP="000F073E">
      <w:pPr>
        <w:spacing w:after="60"/>
        <w:jc w:val="left"/>
        <w:rPr>
          <w:color w:val="000000"/>
          <w:sz w:val="22"/>
          <w:szCs w:val="22"/>
        </w:rPr>
      </w:pPr>
      <w:r w:rsidRPr="0027748C">
        <w:rPr>
          <w:color w:val="000000"/>
          <w:sz w:val="22"/>
          <w:szCs w:val="22"/>
        </w:rPr>
        <w:t>Remuneration Tribunal Determination 2013/02 - Remuneration and Allowances for Holders of Public Office [F2013L00242]</w:t>
      </w:r>
    </w:p>
    <w:p w:rsidR="000F073E" w:rsidRPr="0027748C" w:rsidRDefault="000F073E" w:rsidP="000F073E">
      <w:pPr>
        <w:tabs>
          <w:tab w:val="left" w:pos="284"/>
        </w:tabs>
        <w:spacing w:before="120" w:after="120"/>
        <w:ind w:right="-330"/>
        <w:rPr>
          <w:sz w:val="24"/>
          <w:szCs w:val="24"/>
        </w:rPr>
      </w:pPr>
      <w:r w:rsidRPr="0027748C">
        <w:rPr>
          <w:b/>
          <w:i/>
          <w:sz w:val="24"/>
          <w:szCs w:val="24"/>
        </w:rPr>
        <w:t>Schools Assistance Act 2008</w:t>
      </w:r>
    </w:p>
    <w:p w:rsidR="000F073E" w:rsidRPr="0027748C" w:rsidRDefault="000F073E" w:rsidP="000F073E">
      <w:pPr>
        <w:spacing w:after="60"/>
        <w:jc w:val="left"/>
        <w:rPr>
          <w:color w:val="000000"/>
          <w:sz w:val="22"/>
          <w:szCs w:val="22"/>
        </w:rPr>
      </w:pPr>
      <w:r w:rsidRPr="0027748C">
        <w:rPr>
          <w:color w:val="000000"/>
          <w:sz w:val="22"/>
          <w:szCs w:val="22"/>
        </w:rPr>
        <w:t>Schools Assistance (Guidelines for Determining Socio-Economic Status (SES) Scores) Amendment 2013 (No. 1) [F2013L00349]</w:t>
      </w:r>
    </w:p>
    <w:p w:rsidR="000F073E" w:rsidRPr="0027748C" w:rsidRDefault="000F073E" w:rsidP="000F073E">
      <w:pPr>
        <w:tabs>
          <w:tab w:val="left" w:pos="284"/>
        </w:tabs>
        <w:spacing w:before="120" w:after="120"/>
        <w:ind w:right="-330"/>
        <w:rPr>
          <w:sz w:val="24"/>
          <w:szCs w:val="24"/>
        </w:rPr>
      </w:pPr>
      <w:r>
        <w:rPr>
          <w:b/>
          <w:i/>
        </w:rPr>
        <w:br w:type="page"/>
      </w:r>
      <w:r w:rsidRPr="0027748C">
        <w:rPr>
          <w:b/>
          <w:i/>
          <w:sz w:val="24"/>
          <w:szCs w:val="24"/>
        </w:rPr>
        <w:lastRenderedPageBreak/>
        <w:t>Stronger Futures in the Northern Territory Act 2012</w:t>
      </w:r>
    </w:p>
    <w:p w:rsidR="000F073E" w:rsidRPr="0027748C" w:rsidRDefault="000F073E" w:rsidP="000F073E">
      <w:pPr>
        <w:spacing w:after="60"/>
        <w:jc w:val="left"/>
        <w:rPr>
          <w:color w:val="000000"/>
          <w:sz w:val="22"/>
          <w:szCs w:val="22"/>
        </w:rPr>
      </w:pPr>
      <w:r w:rsidRPr="0027748C">
        <w:rPr>
          <w:color w:val="000000"/>
          <w:sz w:val="22"/>
          <w:szCs w:val="22"/>
        </w:rPr>
        <w:t>Stronger Futures in the Northern Territory (Alcohol Management Plans) Rule 2013 [F2013L00290]</w:t>
      </w:r>
    </w:p>
    <w:p w:rsidR="000F073E" w:rsidRPr="0027748C" w:rsidRDefault="000F073E" w:rsidP="000F073E">
      <w:pPr>
        <w:tabs>
          <w:tab w:val="left" w:pos="284"/>
        </w:tabs>
        <w:spacing w:before="120" w:after="120"/>
        <w:ind w:right="-330"/>
        <w:rPr>
          <w:sz w:val="24"/>
          <w:szCs w:val="24"/>
        </w:rPr>
      </w:pPr>
      <w:r w:rsidRPr="0027748C">
        <w:rPr>
          <w:b/>
          <w:i/>
          <w:sz w:val="24"/>
          <w:szCs w:val="24"/>
        </w:rPr>
        <w:t>Superannuation Act 1976</w:t>
      </w:r>
    </w:p>
    <w:p w:rsidR="000F073E" w:rsidRPr="0027748C" w:rsidRDefault="000F073E" w:rsidP="000F073E">
      <w:pPr>
        <w:spacing w:after="60"/>
        <w:jc w:val="left"/>
        <w:rPr>
          <w:color w:val="000000"/>
          <w:sz w:val="22"/>
          <w:szCs w:val="22"/>
        </w:rPr>
      </w:pPr>
      <w:r w:rsidRPr="0027748C">
        <w:rPr>
          <w:color w:val="000000"/>
          <w:sz w:val="22"/>
          <w:szCs w:val="22"/>
        </w:rPr>
        <w:t>Superannuation (CSS) (Superannuation Guarantee) Amendment Regulation 2013 (No. 1) [Select Legislative Instrument 2013 No. 11] [F2013L00255]</w:t>
      </w:r>
    </w:p>
    <w:p w:rsidR="000F073E" w:rsidRPr="0027748C" w:rsidRDefault="000F073E" w:rsidP="000F073E">
      <w:pPr>
        <w:tabs>
          <w:tab w:val="left" w:pos="284"/>
        </w:tabs>
        <w:spacing w:before="120" w:after="120"/>
        <w:ind w:right="-330"/>
        <w:rPr>
          <w:sz w:val="24"/>
          <w:szCs w:val="24"/>
        </w:rPr>
      </w:pPr>
      <w:r w:rsidRPr="0027748C">
        <w:rPr>
          <w:b/>
          <w:i/>
          <w:sz w:val="24"/>
          <w:szCs w:val="24"/>
        </w:rPr>
        <w:t>Taxation Administration Act 1953</w:t>
      </w:r>
    </w:p>
    <w:p w:rsidR="000F073E" w:rsidRPr="0027748C" w:rsidRDefault="000F073E" w:rsidP="000F073E">
      <w:pPr>
        <w:spacing w:after="60"/>
        <w:jc w:val="left"/>
        <w:rPr>
          <w:color w:val="000000"/>
          <w:sz w:val="22"/>
          <w:szCs w:val="22"/>
        </w:rPr>
      </w:pPr>
      <w:r w:rsidRPr="0027748C">
        <w:rPr>
          <w:color w:val="000000"/>
          <w:sz w:val="22"/>
          <w:szCs w:val="22"/>
        </w:rPr>
        <w:t>Taxation Administration Act 1953 - Nil rate determination and exemption from lodging Minerals Resource Rent Tax (MRRT) Instalment Liability Notices Instrument (No. 1) 2013 [F2013L00262]</w:t>
      </w:r>
    </w:p>
    <w:p w:rsidR="000F073E" w:rsidRPr="003F1DC6" w:rsidRDefault="000F073E" w:rsidP="000F073E">
      <w:pPr>
        <w:pStyle w:val="Heading3"/>
        <w:spacing w:before="360" w:after="360"/>
        <w:jc w:val="center"/>
        <w:rPr>
          <w:u w:val="single"/>
        </w:rPr>
      </w:pPr>
      <w:r w:rsidRPr="003F1DC6">
        <w:rPr>
          <w:u w:val="single"/>
        </w:rPr>
        <w:t>Instruments received week ending 8 March 2013</w:t>
      </w:r>
    </w:p>
    <w:p w:rsidR="000F073E" w:rsidRPr="0027748C" w:rsidRDefault="000F073E" w:rsidP="000F073E">
      <w:pPr>
        <w:tabs>
          <w:tab w:val="left" w:pos="284"/>
        </w:tabs>
        <w:spacing w:after="120"/>
        <w:ind w:right="-330"/>
        <w:rPr>
          <w:sz w:val="24"/>
          <w:szCs w:val="24"/>
        </w:rPr>
      </w:pPr>
      <w:r w:rsidRPr="0027748C">
        <w:rPr>
          <w:b/>
          <w:i/>
          <w:sz w:val="24"/>
          <w:szCs w:val="24"/>
        </w:rPr>
        <w:t>Australian Charities and Not-for profits Commission Act 2012</w:t>
      </w:r>
    </w:p>
    <w:p w:rsidR="000F073E" w:rsidRPr="0027748C" w:rsidRDefault="000F073E" w:rsidP="000F073E">
      <w:pPr>
        <w:spacing w:after="60"/>
        <w:jc w:val="left"/>
        <w:rPr>
          <w:color w:val="000000"/>
          <w:sz w:val="22"/>
          <w:szCs w:val="22"/>
        </w:rPr>
      </w:pPr>
      <w:r w:rsidRPr="0027748C">
        <w:rPr>
          <w:color w:val="000000"/>
          <w:sz w:val="22"/>
          <w:szCs w:val="22"/>
        </w:rPr>
        <w:t>Australian Charities and Not-for-profits Commission Regulation 2013 [Select Legislative Instrument No. 22, 2013] [F2013L00401]</w:t>
      </w:r>
    </w:p>
    <w:p w:rsidR="000F073E" w:rsidRPr="0027748C" w:rsidRDefault="000F073E" w:rsidP="000F073E">
      <w:pPr>
        <w:spacing w:after="60"/>
        <w:jc w:val="left"/>
        <w:rPr>
          <w:color w:val="000000"/>
          <w:sz w:val="22"/>
          <w:szCs w:val="22"/>
        </w:rPr>
      </w:pPr>
      <w:r w:rsidRPr="0027748C">
        <w:rPr>
          <w:color w:val="000000"/>
          <w:sz w:val="22"/>
          <w:szCs w:val="22"/>
        </w:rPr>
        <w:t>Australian Charities and Not-for-profits Commission Amendment Regulation 2013 (No. 1) [Select Legislative Instrument No. 23, 2013] [F2013L00402]</w:t>
      </w:r>
    </w:p>
    <w:p w:rsidR="000F073E" w:rsidRPr="0027748C" w:rsidRDefault="000F073E" w:rsidP="000F073E">
      <w:pPr>
        <w:tabs>
          <w:tab w:val="left" w:pos="284"/>
        </w:tabs>
        <w:spacing w:before="120" w:after="120"/>
        <w:ind w:right="-330"/>
        <w:rPr>
          <w:sz w:val="24"/>
          <w:szCs w:val="24"/>
        </w:rPr>
      </w:pPr>
      <w:r w:rsidRPr="0027748C">
        <w:rPr>
          <w:b/>
          <w:i/>
          <w:sz w:val="24"/>
          <w:szCs w:val="24"/>
        </w:rPr>
        <w:t>Australian Securities and Investments Commission Act 2001</w:t>
      </w:r>
    </w:p>
    <w:p w:rsidR="000F073E" w:rsidRPr="0027748C" w:rsidRDefault="000F073E" w:rsidP="000F073E">
      <w:pPr>
        <w:spacing w:after="60"/>
        <w:jc w:val="left"/>
        <w:rPr>
          <w:color w:val="000000"/>
          <w:sz w:val="22"/>
          <w:szCs w:val="22"/>
        </w:rPr>
      </w:pPr>
      <w:r w:rsidRPr="0027748C">
        <w:rPr>
          <w:color w:val="000000"/>
          <w:sz w:val="22"/>
          <w:szCs w:val="22"/>
        </w:rPr>
        <w:t>Professional Standards Scheme Legislation Amendment Regulation 2013 (No. 1) [Select Legislative Instrument 2013 No. 25] [F2013L00385]</w:t>
      </w:r>
    </w:p>
    <w:p w:rsidR="000F073E" w:rsidRPr="0027748C" w:rsidRDefault="000F073E" w:rsidP="000F073E">
      <w:pPr>
        <w:tabs>
          <w:tab w:val="left" w:pos="284"/>
        </w:tabs>
        <w:spacing w:before="120" w:after="120"/>
        <w:ind w:right="-330"/>
        <w:rPr>
          <w:sz w:val="24"/>
          <w:szCs w:val="24"/>
        </w:rPr>
      </w:pPr>
      <w:r w:rsidRPr="0027748C">
        <w:rPr>
          <w:b/>
          <w:i/>
          <w:sz w:val="24"/>
          <w:szCs w:val="24"/>
        </w:rPr>
        <w:t>Broadcasting Services Act 1992</w:t>
      </w:r>
    </w:p>
    <w:p w:rsidR="000F073E" w:rsidRPr="0027748C" w:rsidRDefault="000F073E" w:rsidP="000F073E">
      <w:pPr>
        <w:spacing w:after="60"/>
        <w:jc w:val="left"/>
        <w:rPr>
          <w:color w:val="000000"/>
          <w:sz w:val="22"/>
          <w:szCs w:val="22"/>
        </w:rPr>
      </w:pPr>
      <w:r w:rsidRPr="0027748C">
        <w:rPr>
          <w:color w:val="000000"/>
          <w:sz w:val="22"/>
          <w:szCs w:val="22"/>
        </w:rPr>
        <w:t>Broadcasting Services (Events) Notice (No. 1) 2010 (Amendment No. 1 of 2013) [F2013L00400]</w:t>
      </w:r>
    </w:p>
    <w:p w:rsidR="000F073E" w:rsidRPr="0027748C" w:rsidRDefault="000F073E" w:rsidP="000F073E">
      <w:pPr>
        <w:tabs>
          <w:tab w:val="left" w:pos="284"/>
        </w:tabs>
        <w:spacing w:before="120" w:after="120"/>
        <w:ind w:right="-330"/>
        <w:rPr>
          <w:sz w:val="24"/>
          <w:szCs w:val="24"/>
        </w:rPr>
      </w:pPr>
      <w:r w:rsidRPr="0027748C">
        <w:rPr>
          <w:b/>
          <w:i/>
          <w:sz w:val="24"/>
          <w:szCs w:val="24"/>
        </w:rPr>
        <w:t>Civil Aviation Act 1988</w:t>
      </w:r>
    </w:p>
    <w:p w:rsidR="000F073E" w:rsidRPr="0027748C" w:rsidRDefault="000F073E" w:rsidP="000F073E">
      <w:pPr>
        <w:spacing w:after="60"/>
        <w:jc w:val="left"/>
        <w:rPr>
          <w:color w:val="000000"/>
          <w:sz w:val="22"/>
          <w:szCs w:val="22"/>
        </w:rPr>
      </w:pPr>
      <w:r w:rsidRPr="0027748C">
        <w:rPr>
          <w:color w:val="000000"/>
          <w:sz w:val="22"/>
          <w:szCs w:val="22"/>
        </w:rPr>
        <w:t xml:space="preserve">CASA 39/13 – Directions under </w:t>
      </w:r>
      <w:proofErr w:type="spellStart"/>
      <w:r w:rsidRPr="0027748C">
        <w:rPr>
          <w:color w:val="000000"/>
          <w:sz w:val="22"/>
          <w:szCs w:val="22"/>
        </w:rPr>
        <w:t>subregulation</w:t>
      </w:r>
      <w:proofErr w:type="spellEnd"/>
      <w:r w:rsidRPr="0027748C">
        <w:rPr>
          <w:color w:val="000000"/>
          <w:sz w:val="22"/>
          <w:szCs w:val="22"/>
        </w:rPr>
        <w:t xml:space="preserve"> 235(2) relating to landing weight and landing distance required [F2013L00420]</w:t>
      </w:r>
    </w:p>
    <w:p w:rsidR="000F073E" w:rsidRPr="0027748C" w:rsidRDefault="000F073E" w:rsidP="000F073E">
      <w:pPr>
        <w:spacing w:after="60"/>
        <w:jc w:val="left"/>
        <w:rPr>
          <w:color w:val="000000"/>
          <w:sz w:val="22"/>
          <w:szCs w:val="22"/>
        </w:rPr>
      </w:pPr>
      <w:r w:rsidRPr="0027748C">
        <w:rPr>
          <w:color w:val="000000"/>
          <w:sz w:val="22"/>
          <w:szCs w:val="22"/>
        </w:rPr>
        <w:t xml:space="preserve">CASA EX22/13 - Exemption - </w:t>
      </w:r>
      <w:proofErr w:type="spellStart"/>
      <w:r w:rsidRPr="0027748C">
        <w:rPr>
          <w:color w:val="000000"/>
          <w:sz w:val="22"/>
          <w:szCs w:val="22"/>
        </w:rPr>
        <w:t>recency</w:t>
      </w:r>
      <w:proofErr w:type="spellEnd"/>
      <w:r w:rsidRPr="0027748C">
        <w:rPr>
          <w:color w:val="000000"/>
          <w:sz w:val="22"/>
          <w:szCs w:val="22"/>
        </w:rPr>
        <w:t xml:space="preserve"> requirements for night flying (National Jet Systems Pty Ltd) [F2013L00383]</w:t>
      </w:r>
    </w:p>
    <w:p w:rsidR="000F073E" w:rsidRPr="0027748C" w:rsidRDefault="000F073E" w:rsidP="000F073E">
      <w:pPr>
        <w:spacing w:after="60"/>
        <w:jc w:val="left"/>
        <w:rPr>
          <w:color w:val="000000"/>
          <w:sz w:val="22"/>
          <w:szCs w:val="22"/>
        </w:rPr>
      </w:pPr>
      <w:r w:rsidRPr="0027748C">
        <w:rPr>
          <w:color w:val="000000"/>
          <w:sz w:val="22"/>
          <w:szCs w:val="22"/>
        </w:rPr>
        <w:t>CASA EX24/13 - Exemption, permission and approval - dropping of articles [F2013L00384]</w:t>
      </w:r>
    </w:p>
    <w:p w:rsidR="000F073E" w:rsidRPr="0027748C" w:rsidRDefault="000F073E" w:rsidP="000F073E">
      <w:pPr>
        <w:spacing w:after="60"/>
        <w:jc w:val="left"/>
        <w:rPr>
          <w:color w:val="000000"/>
          <w:sz w:val="22"/>
          <w:szCs w:val="22"/>
        </w:rPr>
      </w:pPr>
      <w:r w:rsidRPr="0027748C">
        <w:rPr>
          <w:color w:val="000000"/>
          <w:sz w:val="22"/>
          <w:szCs w:val="22"/>
        </w:rPr>
        <w:t>CASA EX25/13 - Exemption - drug and alcohol management plan information - Exemption - use of pre-hiring drug and alcohol tests [F2013L00382]</w:t>
      </w:r>
    </w:p>
    <w:p w:rsidR="000F073E" w:rsidRPr="0027748C" w:rsidRDefault="000F073E" w:rsidP="000F073E">
      <w:pPr>
        <w:spacing w:after="60"/>
        <w:jc w:val="left"/>
        <w:rPr>
          <w:color w:val="000000"/>
          <w:sz w:val="22"/>
          <w:szCs w:val="22"/>
        </w:rPr>
      </w:pPr>
      <w:r w:rsidRPr="0027748C">
        <w:rPr>
          <w:color w:val="000000"/>
          <w:sz w:val="22"/>
          <w:szCs w:val="22"/>
        </w:rPr>
        <w:t>Civil Aviation Order 95.4.1 Amendment Instrument 2013 (No. 1) [F2013L00410]</w:t>
      </w:r>
    </w:p>
    <w:p w:rsidR="000F073E" w:rsidRPr="0027748C" w:rsidRDefault="000F073E" w:rsidP="000F073E">
      <w:pPr>
        <w:tabs>
          <w:tab w:val="left" w:pos="284"/>
        </w:tabs>
        <w:spacing w:before="120" w:after="120"/>
        <w:ind w:right="-330"/>
        <w:rPr>
          <w:sz w:val="24"/>
          <w:szCs w:val="24"/>
        </w:rPr>
      </w:pPr>
      <w:r w:rsidRPr="0027748C">
        <w:rPr>
          <w:b/>
          <w:i/>
          <w:sz w:val="24"/>
          <w:szCs w:val="24"/>
        </w:rPr>
        <w:t>Clean Energy Act 2011</w:t>
      </w:r>
    </w:p>
    <w:p w:rsidR="000F073E" w:rsidRPr="0027748C" w:rsidRDefault="000F073E" w:rsidP="000F073E">
      <w:pPr>
        <w:spacing w:after="60"/>
        <w:jc w:val="left"/>
        <w:rPr>
          <w:color w:val="000000"/>
          <w:sz w:val="22"/>
          <w:szCs w:val="22"/>
        </w:rPr>
      </w:pPr>
      <w:r w:rsidRPr="0027748C">
        <w:rPr>
          <w:color w:val="000000"/>
          <w:sz w:val="22"/>
          <w:szCs w:val="22"/>
        </w:rPr>
        <w:t>Clean Energy Amendment Regulation 2013 (No. 1) [Select Legislative Instrument No. 17, 2013] [F2013L00393]</w:t>
      </w:r>
    </w:p>
    <w:p w:rsidR="000F073E" w:rsidRPr="0027748C" w:rsidRDefault="000F073E" w:rsidP="000F073E">
      <w:pPr>
        <w:tabs>
          <w:tab w:val="left" w:pos="284"/>
        </w:tabs>
        <w:spacing w:before="120" w:after="120"/>
        <w:ind w:right="-330"/>
        <w:rPr>
          <w:sz w:val="24"/>
          <w:szCs w:val="24"/>
        </w:rPr>
      </w:pPr>
      <w:r w:rsidRPr="0027748C">
        <w:rPr>
          <w:b/>
          <w:i/>
          <w:sz w:val="24"/>
          <w:szCs w:val="24"/>
        </w:rPr>
        <w:t>Corporations Act 2001</w:t>
      </w:r>
    </w:p>
    <w:p w:rsidR="000F073E" w:rsidRPr="0027748C" w:rsidRDefault="000F073E" w:rsidP="000F073E">
      <w:pPr>
        <w:spacing w:after="60"/>
        <w:jc w:val="left"/>
        <w:rPr>
          <w:color w:val="000000"/>
          <w:sz w:val="22"/>
          <w:szCs w:val="22"/>
        </w:rPr>
      </w:pPr>
      <w:r w:rsidRPr="0027748C">
        <w:rPr>
          <w:color w:val="000000"/>
          <w:sz w:val="22"/>
          <w:szCs w:val="22"/>
        </w:rPr>
        <w:t>Corporations Act 2001 - Determination of CCP Standards 7.3, 7.9 13.1, 13.2 and 13.3 [F2013L00392]</w:t>
      </w:r>
    </w:p>
    <w:p w:rsidR="000F073E" w:rsidRPr="0027748C" w:rsidRDefault="000F073E" w:rsidP="000F073E">
      <w:pPr>
        <w:spacing w:after="60"/>
        <w:jc w:val="left"/>
        <w:rPr>
          <w:color w:val="000000"/>
          <w:sz w:val="22"/>
          <w:szCs w:val="22"/>
        </w:rPr>
      </w:pPr>
      <w:r w:rsidRPr="0027748C">
        <w:rPr>
          <w:color w:val="000000"/>
          <w:sz w:val="22"/>
          <w:szCs w:val="22"/>
        </w:rPr>
        <w:t>Corporations Act 2001 - Revocation of CCP Standards 7.3, 7.9 13.1, 13.2 and 13.3 [F2013L00388]</w:t>
      </w:r>
    </w:p>
    <w:p w:rsidR="000F073E" w:rsidRPr="0027748C" w:rsidRDefault="000F073E" w:rsidP="000F073E">
      <w:pPr>
        <w:tabs>
          <w:tab w:val="left" w:pos="284"/>
        </w:tabs>
        <w:spacing w:before="120" w:after="120"/>
        <w:ind w:right="-330"/>
        <w:rPr>
          <w:sz w:val="24"/>
          <w:szCs w:val="24"/>
        </w:rPr>
      </w:pPr>
      <w:r w:rsidRPr="0027748C">
        <w:rPr>
          <w:b/>
          <w:i/>
          <w:sz w:val="24"/>
          <w:szCs w:val="24"/>
        </w:rPr>
        <w:t>Currency Act 1965</w:t>
      </w:r>
    </w:p>
    <w:p w:rsidR="000F073E" w:rsidRPr="0027748C" w:rsidRDefault="000F073E" w:rsidP="000F073E">
      <w:pPr>
        <w:spacing w:after="60"/>
        <w:jc w:val="left"/>
        <w:rPr>
          <w:color w:val="000000"/>
          <w:sz w:val="22"/>
          <w:szCs w:val="22"/>
        </w:rPr>
      </w:pPr>
      <w:r w:rsidRPr="0027748C">
        <w:rPr>
          <w:color w:val="000000"/>
          <w:sz w:val="22"/>
          <w:szCs w:val="22"/>
        </w:rPr>
        <w:t>Currency Legislation (Royal Australian Mint) Amendment Determination 2013 (No. 2) [F2013L00399]</w:t>
      </w:r>
    </w:p>
    <w:p w:rsidR="000F073E" w:rsidRDefault="000F073E">
      <w:pPr>
        <w:spacing w:after="0"/>
        <w:jc w:val="left"/>
        <w:rPr>
          <w:b/>
          <w:i/>
          <w:sz w:val="24"/>
          <w:szCs w:val="24"/>
        </w:rPr>
      </w:pPr>
      <w:r>
        <w:rPr>
          <w:b/>
          <w:i/>
          <w:sz w:val="24"/>
          <w:szCs w:val="24"/>
        </w:rPr>
        <w:br w:type="page"/>
      </w:r>
    </w:p>
    <w:p w:rsidR="000F073E" w:rsidRPr="009774B5" w:rsidRDefault="000F073E" w:rsidP="006958CB">
      <w:pPr>
        <w:tabs>
          <w:tab w:val="left" w:pos="284"/>
        </w:tabs>
        <w:spacing w:after="120"/>
        <w:ind w:right="-330"/>
        <w:rPr>
          <w:sz w:val="24"/>
          <w:szCs w:val="24"/>
        </w:rPr>
      </w:pPr>
      <w:r w:rsidRPr="009774B5">
        <w:rPr>
          <w:b/>
          <w:i/>
          <w:sz w:val="24"/>
          <w:szCs w:val="24"/>
        </w:rPr>
        <w:lastRenderedPageBreak/>
        <w:t>Defence Act 1903</w:t>
      </w:r>
    </w:p>
    <w:p w:rsidR="000F073E" w:rsidRPr="009774B5" w:rsidRDefault="000F073E" w:rsidP="000F073E">
      <w:pPr>
        <w:spacing w:after="60"/>
        <w:jc w:val="left"/>
        <w:rPr>
          <w:color w:val="000000"/>
          <w:sz w:val="22"/>
          <w:szCs w:val="22"/>
        </w:rPr>
      </w:pPr>
      <w:r w:rsidRPr="009774B5">
        <w:rPr>
          <w:color w:val="000000"/>
          <w:sz w:val="22"/>
          <w:szCs w:val="22"/>
        </w:rPr>
        <w:t>Defence (Personnel) Amendment Regulation 2013 (No. 1) [Select Legislative Instrument No. 19, 2013] [F2013L00389]</w:t>
      </w:r>
    </w:p>
    <w:p w:rsidR="000F073E" w:rsidRPr="009774B5" w:rsidRDefault="000F073E" w:rsidP="006958CB">
      <w:pPr>
        <w:tabs>
          <w:tab w:val="left" w:pos="284"/>
        </w:tabs>
        <w:spacing w:before="120" w:after="120"/>
        <w:ind w:right="-330"/>
        <w:rPr>
          <w:sz w:val="24"/>
          <w:szCs w:val="24"/>
        </w:rPr>
      </w:pPr>
      <w:r w:rsidRPr="009774B5">
        <w:rPr>
          <w:b/>
          <w:i/>
          <w:sz w:val="24"/>
          <w:szCs w:val="24"/>
        </w:rPr>
        <w:t>Environment Protection and Biodiversity Conservation Act 1999</w:t>
      </w:r>
    </w:p>
    <w:p w:rsidR="000F073E" w:rsidRPr="009774B5" w:rsidRDefault="000F073E" w:rsidP="000F073E">
      <w:pPr>
        <w:spacing w:after="60"/>
        <w:jc w:val="left"/>
        <w:rPr>
          <w:color w:val="000000"/>
          <w:sz w:val="22"/>
          <w:szCs w:val="22"/>
        </w:rPr>
      </w:pPr>
      <w:r w:rsidRPr="009774B5">
        <w:rPr>
          <w:color w:val="000000"/>
          <w:sz w:val="22"/>
          <w:szCs w:val="22"/>
        </w:rPr>
        <w:t>Amendment to the list of threatened species under section 178 of the Environment Protection and Biodiversity Conservation Act 1999 (114) (30/01/2013) [F2013L00403]</w:t>
      </w:r>
    </w:p>
    <w:p w:rsidR="000F073E" w:rsidRPr="009774B5" w:rsidRDefault="000F073E" w:rsidP="006958CB">
      <w:pPr>
        <w:tabs>
          <w:tab w:val="left" w:pos="284"/>
        </w:tabs>
        <w:spacing w:before="120" w:after="120"/>
        <w:ind w:right="-330"/>
        <w:rPr>
          <w:sz w:val="24"/>
          <w:szCs w:val="24"/>
        </w:rPr>
      </w:pPr>
      <w:r w:rsidRPr="009774B5">
        <w:rPr>
          <w:b/>
          <w:i/>
          <w:sz w:val="24"/>
          <w:szCs w:val="24"/>
        </w:rPr>
        <w:t>Extradition Act 1988</w:t>
      </w:r>
    </w:p>
    <w:p w:rsidR="000F073E" w:rsidRPr="009774B5" w:rsidRDefault="000F073E" w:rsidP="000F073E">
      <w:pPr>
        <w:spacing w:after="60"/>
        <w:jc w:val="left"/>
        <w:rPr>
          <w:color w:val="000000"/>
          <w:sz w:val="22"/>
          <w:szCs w:val="22"/>
        </w:rPr>
      </w:pPr>
      <w:r w:rsidRPr="009774B5">
        <w:rPr>
          <w:color w:val="000000"/>
          <w:sz w:val="22"/>
          <w:szCs w:val="22"/>
        </w:rPr>
        <w:t>Extradition (Piracy against Ships in Asia) Regulation 2013 [Select Legislative Instrument No. 15, 2013] [F2013L00397]</w:t>
      </w:r>
    </w:p>
    <w:p w:rsidR="000F073E" w:rsidRPr="009774B5" w:rsidRDefault="000F073E" w:rsidP="006958CB">
      <w:pPr>
        <w:tabs>
          <w:tab w:val="left" w:pos="284"/>
        </w:tabs>
        <w:spacing w:before="120" w:after="120"/>
        <w:ind w:right="-330"/>
        <w:rPr>
          <w:sz w:val="24"/>
          <w:szCs w:val="24"/>
        </w:rPr>
      </w:pPr>
      <w:r w:rsidRPr="009774B5">
        <w:rPr>
          <w:b/>
          <w:i/>
          <w:sz w:val="24"/>
          <w:szCs w:val="24"/>
        </w:rPr>
        <w:t>Family Law Act 1975</w:t>
      </w:r>
    </w:p>
    <w:p w:rsidR="000F073E" w:rsidRPr="009774B5" w:rsidRDefault="000F073E" w:rsidP="000F073E">
      <w:pPr>
        <w:spacing w:after="60"/>
        <w:jc w:val="left"/>
        <w:rPr>
          <w:color w:val="000000"/>
          <w:sz w:val="22"/>
          <w:szCs w:val="22"/>
        </w:rPr>
      </w:pPr>
      <w:r w:rsidRPr="009774B5">
        <w:rPr>
          <w:color w:val="000000"/>
          <w:sz w:val="22"/>
          <w:szCs w:val="22"/>
        </w:rPr>
        <w:t>Family Law (Superannuation) Amendment Regulation 2013 (No. 1) [Select Legislative Instrument No. 16, 2013] [F2013L00396]</w:t>
      </w:r>
    </w:p>
    <w:p w:rsidR="000F073E" w:rsidRPr="009774B5" w:rsidRDefault="000F073E" w:rsidP="006958CB">
      <w:pPr>
        <w:tabs>
          <w:tab w:val="left" w:pos="284"/>
        </w:tabs>
        <w:spacing w:before="120" w:after="120"/>
        <w:ind w:right="-330"/>
        <w:rPr>
          <w:sz w:val="24"/>
          <w:szCs w:val="24"/>
        </w:rPr>
      </w:pPr>
      <w:r w:rsidRPr="009774B5">
        <w:rPr>
          <w:b/>
          <w:i/>
          <w:sz w:val="24"/>
          <w:szCs w:val="24"/>
        </w:rPr>
        <w:t>Financial Management and Accountability Act 1997</w:t>
      </w:r>
    </w:p>
    <w:p w:rsidR="000F073E" w:rsidRPr="009774B5" w:rsidRDefault="000F073E" w:rsidP="000F073E">
      <w:pPr>
        <w:spacing w:after="60"/>
        <w:jc w:val="left"/>
        <w:rPr>
          <w:color w:val="000000"/>
          <w:sz w:val="22"/>
          <w:szCs w:val="22"/>
        </w:rPr>
      </w:pPr>
      <w:r w:rsidRPr="009774B5">
        <w:rPr>
          <w:color w:val="000000"/>
          <w:sz w:val="22"/>
          <w:szCs w:val="22"/>
        </w:rPr>
        <w:t>Financial Management and Accountability Amendment Regulation 2013 (No. 1) [Select Legislative Instrument No. 27, 2013] [F2013L00391]</w:t>
      </w:r>
    </w:p>
    <w:p w:rsidR="000F073E" w:rsidRPr="009774B5" w:rsidRDefault="000F073E" w:rsidP="006958CB">
      <w:pPr>
        <w:tabs>
          <w:tab w:val="left" w:pos="284"/>
        </w:tabs>
        <w:spacing w:before="120" w:after="120"/>
        <w:ind w:right="-330"/>
        <w:rPr>
          <w:sz w:val="24"/>
          <w:szCs w:val="24"/>
        </w:rPr>
      </w:pPr>
      <w:r w:rsidRPr="009774B5">
        <w:rPr>
          <w:b/>
          <w:i/>
          <w:sz w:val="24"/>
          <w:szCs w:val="24"/>
        </w:rPr>
        <w:t>Financial Sector (Collection of Data) Act 2001</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5 of 2013 - GRS 114.0 - Asset Risk Charge [F2013L00386]</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11 of 2013 - GRS 115.1 - Premiums Liabilities - Insurance Risk Charge [F2013L00381]</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12 of 2013 - GRS 116.0 - Insurance Concentration Risk Charge [F2013L00376]</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15 of 2013 - GRS 118.0 - Operational Risk Charge [F2013L00372]</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18 of 2013 - GRS 310.1 - Premium Revenue and Reinsurance Expense [F2013L00368]</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19 of 2013 - GRS 310.2 - Claims Expense and Reinsurance Recoveries [F2013L00379]</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20 of 2013 - GRS 310.3 - Details of Income and Expenses [F2013L00370]</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37 of 2013 - GRS 118.0_G - Operational Risk Charge (Level 2 Insurance Group) [F2013L00380]</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47 of 2013 - LRS 114.2 - Derivatives Activity [F2013L00369]</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48 of 2013 - LRS 114.3 - Off-balance Sheet Business [F2013L00371]</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49 of 2013 - LRS 115.0 - Insurance Risk Charge [F2013L00373]</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50 of 2013 - LRS 117.0 - Asset Concentration Risk Charge [F2013L00375]</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51 of 2013 - LRS 118.0 - Operational Risk Charge [F2013L00377]</w:t>
      </w:r>
    </w:p>
    <w:p w:rsidR="000F073E" w:rsidRPr="009774B5" w:rsidRDefault="000F073E" w:rsidP="000F073E">
      <w:pPr>
        <w:spacing w:after="60"/>
        <w:jc w:val="left"/>
        <w:rPr>
          <w:color w:val="000000"/>
          <w:sz w:val="22"/>
          <w:szCs w:val="22"/>
        </w:rPr>
      </w:pPr>
      <w:r w:rsidRPr="009774B5">
        <w:rPr>
          <w:color w:val="000000"/>
          <w:sz w:val="22"/>
          <w:szCs w:val="22"/>
        </w:rPr>
        <w:t>Financial Sector (Collection of Data) (reporting standard) determination No. 52 of 2013 - LRS 200.0 - Capital Adequacy Supplementary Information [F2013L00378]</w:t>
      </w:r>
    </w:p>
    <w:p w:rsidR="006958CB" w:rsidRDefault="006958CB">
      <w:pPr>
        <w:spacing w:after="0"/>
        <w:jc w:val="left"/>
        <w:rPr>
          <w:b/>
          <w:i/>
          <w:sz w:val="24"/>
          <w:szCs w:val="24"/>
        </w:rPr>
      </w:pPr>
      <w:r>
        <w:rPr>
          <w:b/>
          <w:i/>
          <w:sz w:val="24"/>
          <w:szCs w:val="24"/>
        </w:rPr>
        <w:br w:type="page"/>
      </w:r>
    </w:p>
    <w:p w:rsidR="000F073E" w:rsidRPr="009774B5" w:rsidRDefault="000F073E" w:rsidP="006958CB">
      <w:pPr>
        <w:tabs>
          <w:tab w:val="left" w:pos="284"/>
        </w:tabs>
        <w:spacing w:after="120"/>
        <w:ind w:right="-330"/>
        <w:rPr>
          <w:sz w:val="24"/>
          <w:szCs w:val="24"/>
        </w:rPr>
      </w:pPr>
      <w:r w:rsidRPr="009774B5">
        <w:rPr>
          <w:b/>
          <w:i/>
          <w:sz w:val="24"/>
          <w:szCs w:val="24"/>
        </w:rPr>
        <w:lastRenderedPageBreak/>
        <w:t>Higher Education Support Act 2003</w:t>
      </w:r>
    </w:p>
    <w:p w:rsidR="000F073E" w:rsidRPr="009774B5" w:rsidRDefault="000F073E" w:rsidP="000F073E">
      <w:pPr>
        <w:spacing w:after="60"/>
        <w:ind w:right="-329"/>
        <w:jc w:val="left"/>
        <w:rPr>
          <w:sz w:val="22"/>
          <w:szCs w:val="22"/>
        </w:rPr>
      </w:pPr>
      <w:r w:rsidRPr="009774B5">
        <w:rPr>
          <w:sz w:val="22"/>
          <w:szCs w:val="22"/>
        </w:rPr>
        <w:t>Higher Education Support Act 2003 – VET Provider Approval (No. 7 of 2013) [F2013L00417]</w:t>
      </w:r>
    </w:p>
    <w:p w:rsidR="000F073E" w:rsidRPr="009774B5" w:rsidRDefault="000F073E" w:rsidP="006958CB">
      <w:pPr>
        <w:tabs>
          <w:tab w:val="left" w:pos="284"/>
        </w:tabs>
        <w:spacing w:before="120" w:after="120"/>
        <w:ind w:right="-330"/>
        <w:rPr>
          <w:sz w:val="24"/>
          <w:szCs w:val="24"/>
        </w:rPr>
      </w:pPr>
      <w:r w:rsidRPr="009774B5">
        <w:rPr>
          <w:b/>
          <w:i/>
          <w:sz w:val="24"/>
          <w:szCs w:val="24"/>
        </w:rPr>
        <w:t>Income Tax Assessment Act 1997</w:t>
      </w:r>
    </w:p>
    <w:p w:rsidR="000F073E" w:rsidRPr="009774B5" w:rsidRDefault="000F073E" w:rsidP="000F073E">
      <w:pPr>
        <w:spacing w:after="60"/>
        <w:jc w:val="left"/>
        <w:rPr>
          <w:color w:val="000000"/>
          <w:sz w:val="22"/>
          <w:szCs w:val="22"/>
        </w:rPr>
      </w:pPr>
      <w:r w:rsidRPr="009774B5">
        <w:rPr>
          <w:color w:val="000000"/>
          <w:sz w:val="22"/>
          <w:szCs w:val="22"/>
        </w:rPr>
        <w:t>Income Tax Assessment Amendment Regulation 2013 (No. 1) [Select Legislative Instrument 2013 No. 24] [F2013L00394]</w:t>
      </w:r>
    </w:p>
    <w:p w:rsidR="000F073E" w:rsidRPr="009774B5" w:rsidRDefault="000F073E" w:rsidP="006958CB">
      <w:pPr>
        <w:tabs>
          <w:tab w:val="left" w:pos="284"/>
        </w:tabs>
        <w:spacing w:before="120" w:after="120"/>
        <w:ind w:right="-330"/>
        <w:rPr>
          <w:sz w:val="24"/>
          <w:szCs w:val="24"/>
        </w:rPr>
      </w:pPr>
      <w:proofErr w:type="spellStart"/>
      <w:r w:rsidRPr="009774B5">
        <w:rPr>
          <w:b/>
          <w:i/>
          <w:sz w:val="24"/>
          <w:szCs w:val="24"/>
        </w:rPr>
        <w:t>Radiocommunications</w:t>
      </w:r>
      <w:proofErr w:type="spellEnd"/>
      <w:r w:rsidRPr="009774B5">
        <w:rPr>
          <w:b/>
          <w:i/>
          <w:sz w:val="24"/>
          <w:szCs w:val="24"/>
        </w:rPr>
        <w:t xml:space="preserve"> Act 1992</w:t>
      </w:r>
    </w:p>
    <w:p w:rsidR="000F073E" w:rsidRPr="009774B5" w:rsidRDefault="000F073E" w:rsidP="000F073E">
      <w:pPr>
        <w:tabs>
          <w:tab w:val="left" w:pos="284"/>
        </w:tabs>
        <w:spacing w:after="60"/>
        <w:ind w:right="-329"/>
        <w:jc w:val="left"/>
        <w:rPr>
          <w:sz w:val="22"/>
          <w:szCs w:val="22"/>
        </w:rPr>
      </w:pPr>
      <w:proofErr w:type="spellStart"/>
      <w:r w:rsidRPr="009774B5">
        <w:rPr>
          <w:sz w:val="22"/>
          <w:szCs w:val="22"/>
        </w:rPr>
        <w:t>Radiocommunications</w:t>
      </w:r>
      <w:proofErr w:type="spellEnd"/>
      <w:r w:rsidRPr="009774B5">
        <w:rPr>
          <w:sz w:val="22"/>
          <w:szCs w:val="22"/>
        </w:rPr>
        <w:t xml:space="preserve"> (Short Range Devices) Amendment Standard 2013 (No. 1) [F2013L00415]</w:t>
      </w:r>
    </w:p>
    <w:p w:rsidR="000F073E" w:rsidRPr="009774B5" w:rsidRDefault="000F073E" w:rsidP="006958CB">
      <w:pPr>
        <w:tabs>
          <w:tab w:val="left" w:pos="284"/>
        </w:tabs>
        <w:spacing w:before="120" w:after="120"/>
        <w:ind w:right="-329"/>
        <w:rPr>
          <w:sz w:val="24"/>
          <w:szCs w:val="24"/>
        </w:rPr>
      </w:pPr>
      <w:r w:rsidRPr="009774B5">
        <w:rPr>
          <w:b/>
          <w:i/>
          <w:sz w:val="24"/>
          <w:szCs w:val="24"/>
        </w:rPr>
        <w:t>Renewable Energy (Electricity) Act 2000</w:t>
      </w:r>
    </w:p>
    <w:p w:rsidR="000F073E" w:rsidRPr="009774B5" w:rsidRDefault="000F073E" w:rsidP="000F073E">
      <w:pPr>
        <w:spacing w:after="60"/>
        <w:jc w:val="left"/>
        <w:rPr>
          <w:color w:val="000000"/>
          <w:sz w:val="22"/>
          <w:szCs w:val="22"/>
        </w:rPr>
      </w:pPr>
      <w:r w:rsidRPr="009774B5">
        <w:rPr>
          <w:color w:val="000000"/>
          <w:sz w:val="22"/>
          <w:szCs w:val="22"/>
        </w:rPr>
        <w:t>Renewable Energy (Electricity) Amendment Regulation 2013 (No. 1) [Select Legislative Instrument No. 18, 2013] [F2013L00387]</w:t>
      </w:r>
    </w:p>
    <w:p w:rsidR="000F073E" w:rsidRPr="009774B5" w:rsidRDefault="000F073E" w:rsidP="006958CB">
      <w:pPr>
        <w:tabs>
          <w:tab w:val="left" w:pos="284"/>
        </w:tabs>
        <w:spacing w:before="120" w:after="120"/>
        <w:ind w:right="-330"/>
        <w:rPr>
          <w:sz w:val="24"/>
          <w:szCs w:val="24"/>
        </w:rPr>
      </w:pPr>
      <w:r w:rsidRPr="009774B5">
        <w:rPr>
          <w:b/>
          <w:i/>
          <w:sz w:val="24"/>
          <w:szCs w:val="24"/>
        </w:rPr>
        <w:t>Superannuation Industry (Supervision) Act 1993</w:t>
      </w:r>
    </w:p>
    <w:p w:rsidR="000F073E" w:rsidRPr="009774B5" w:rsidRDefault="000F073E" w:rsidP="000F073E">
      <w:pPr>
        <w:spacing w:after="60"/>
        <w:jc w:val="left"/>
        <w:rPr>
          <w:color w:val="000000"/>
          <w:sz w:val="22"/>
          <w:szCs w:val="22"/>
        </w:rPr>
      </w:pPr>
      <w:r w:rsidRPr="009774B5">
        <w:rPr>
          <w:color w:val="000000"/>
          <w:sz w:val="22"/>
          <w:szCs w:val="22"/>
        </w:rPr>
        <w:t>Superannuation Legislation Amendment Regulation 2013 (No. 1) [Select Legisl</w:t>
      </w:r>
      <w:r>
        <w:rPr>
          <w:color w:val="000000"/>
          <w:sz w:val="22"/>
          <w:szCs w:val="22"/>
        </w:rPr>
        <w:t>ative Instrument No. </w:t>
      </w:r>
      <w:r w:rsidRPr="009774B5">
        <w:rPr>
          <w:color w:val="000000"/>
          <w:sz w:val="22"/>
          <w:szCs w:val="22"/>
        </w:rPr>
        <w:t>26, 2013] [F2013L00395]</w:t>
      </w:r>
    </w:p>
    <w:p w:rsidR="000F073E" w:rsidRPr="009774B5" w:rsidRDefault="000F073E" w:rsidP="006958CB">
      <w:pPr>
        <w:tabs>
          <w:tab w:val="left" w:pos="284"/>
        </w:tabs>
        <w:spacing w:before="120" w:after="120"/>
        <w:ind w:right="-330"/>
        <w:rPr>
          <w:sz w:val="24"/>
          <w:szCs w:val="24"/>
        </w:rPr>
      </w:pPr>
      <w:r w:rsidRPr="009774B5">
        <w:rPr>
          <w:b/>
          <w:i/>
          <w:sz w:val="24"/>
          <w:szCs w:val="24"/>
        </w:rPr>
        <w:t>Telecommunications Act 1997</w:t>
      </w:r>
    </w:p>
    <w:p w:rsidR="000F073E" w:rsidRPr="009774B5" w:rsidRDefault="000F073E" w:rsidP="000F073E">
      <w:pPr>
        <w:spacing w:after="60"/>
        <w:jc w:val="left"/>
        <w:rPr>
          <w:color w:val="000000"/>
          <w:sz w:val="22"/>
          <w:szCs w:val="22"/>
        </w:rPr>
      </w:pPr>
      <w:r w:rsidRPr="009774B5">
        <w:rPr>
          <w:color w:val="000000"/>
          <w:sz w:val="22"/>
          <w:szCs w:val="22"/>
        </w:rPr>
        <w:t>Telecommunications (Listed Infringement Notice Provisions) Amendment Declaration 2013 [F2013L00408]</w:t>
      </w:r>
    </w:p>
    <w:p w:rsidR="000F073E" w:rsidRPr="009774B5" w:rsidRDefault="000F073E" w:rsidP="006958CB">
      <w:pPr>
        <w:tabs>
          <w:tab w:val="left" w:pos="284"/>
        </w:tabs>
        <w:spacing w:before="120" w:after="120"/>
        <w:ind w:right="-330"/>
        <w:rPr>
          <w:sz w:val="24"/>
          <w:szCs w:val="24"/>
        </w:rPr>
      </w:pPr>
      <w:r w:rsidRPr="009774B5">
        <w:rPr>
          <w:b/>
          <w:i/>
          <w:sz w:val="24"/>
          <w:szCs w:val="24"/>
        </w:rPr>
        <w:t>Veterans' Entitlements Act 1986</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essential </w:t>
      </w:r>
      <w:proofErr w:type="spellStart"/>
      <w:r w:rsidRPr="009774B5">
        <w:rPr>
          <w:color w:val="000000"/>
          <w:sz w:val="22"/>
          <w:szCs w:val="22"/>
        </w:rPr>
        <w:t>thrombocythaemia</w:t>
      </w:r>
      <w:proofErr w:type="spellEnd"/>
      <w:r w:rsidRPr="009774B5">
        <w:rPr>
          <w:color w:val="000000"/>
          <w:sz w:val="22"/>
          <w:szCs w:val="22"/>
        </w:rPr>
        <w:t xml:space="preserve"> No. 15 of 2013 [F2013L00409]</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essential </w:t>
      </w:r>
      <w:proofErr w:type="spellStart"/>
      <w:r w:rsidRPr="009774B5">
        <w:rPr>
          <w:color w:val="000000"/>
          <w:sz w:val="22"/>
          <w:szCs w:val="22"/>
        </w:rPr>
        <w:t>thrombocythaemia</w:t>
      </w:r>
      <w:proofErr w:type="spellEnd"/>
      <w:r w:rsidRPr="009774B5">
        <w:rPr>
          <w:color w:val="000000"/>
          <w:sz w:val="22"/>
          <w:szCs w:val="22"/>
        </w:rPr>
        <w:t xml:space="preserve"> No. 16 of 2013 [F2013L00411]</w:t>
      </w:r>
    </w:p>
    <w:p w:rsidR="000F073E" w:rsidRPr="009774B5" w:rsidRDefault="000F073E" w:rsidP="000F073E">
      <w:pPr>
        <w:spacing w:after="60"/>
        <w:jc w:val="left"/>
        <w:rPr>
          <w:color w:val="000000"/>
          <w:sz w:val="22"/>
          <w:szCs w:val="22"/>
        </w:rPr>
      </w:pPr>
      <w:r w:rsidRPr="009774B5">
        <w:rPr>
          <w:color w:val="000000"/>
          <w:sz w:val="22"/>
          <w:szCs w:val="22"/>
        </w:rPr>
        <w:t>Statement of Principles concerning hypopituitarism No. 19 of 2013 [F2013L00413]</w:t>
      </w:r>
    </w:p>
    <w:p w:rsidR="000F073E" w:rsidRPr="009774B5" w:rsidRDefault="000F073E" w:rsidP="000F073E">
      <w:pPr>
        <w:spacing w:after="60"/>
        <w:jc w:val="left"/>
        <w:rPr>
          <w:color w:val="000000"/>
          <w:sz w:val="22"/>
          <w:szCs w:val="22"/>
        </w:rPr>
      </w:pPr>
      <w:r w:rsidRPr="009774B5">
        <w:rPr>
          <w:color w:val="000000"/>
          <w:sz w:val="22"/>
          <w:szCs w:val="22"/>
        </w:rPr>
        <w:t>Statement of Principles concerning hypopituitarism No. 20 of 2013 [F2013L00414]</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polycythaemia </w:t>
      </w:r>
      <w:proofErr w:type="spellStart"/>
      <w:proofErr w:type="gramStart"/>
      <w:r w:rsidRPr="009774B5">
        <w:rPr>
          <w:color w:val="000000"/>
          <w:sz w:val="22"/>
          <w:szCs w:val="22"/>
        </w:rPr>
        <w:t>vera</w:t>
      </w:r>
      <w:proofErr w:type="spellEnd"/>
      <w:proofErr w:type="gramEnd"/>
      <w:r w:rsidRPr="009774B5">
        <w:rPr>
          <w:color w:val="000000"/>
          <w:sz w:val="22"/>
          <w:szCs w:val="22"/>
        </w:rPr>
        <w:t xml:space="preserve"> No. 11 of 2013 [F2013L00404]</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polycythaemia </w:t>
      </w:r>
      <w:proofErr w:type="spellStart"/>
      <w:proofErr w:type="gramStart"/>
      <w:r w:rsidRPr="009774B5">
        <w:rPr>
          <w:color w:val="000000"/>
          <w:sz w:val="22"/>
          <w:szCs w:val="22"/>
        </w:rPr>
        <w:t>vera</w:t>
      </w:r>
      <w:proofErr w:type="spellEnd"/>
      <w:proofErr w:type="gramEnd"/>
      <w:r w:rsidRPr="009774B5">
        <w:rPr>
          <w:color w:val="000000"/>
          <w:sz w:val="22"/>
          <w:szCs w:val="22"/>
        </w:rPr>
        <w:t xml:space="preserve"> No. 12 of 2013 [F2013L00406]</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primary </w:t>
      </w:r>
      <w:proofErr w:type="spellStart"/>
      <w:r w:rsidRPr="009774B5">
        <w:rPr>
          <w:color w:val="000000"/>
          <w:sz w:val="22"/>
          <w:szCs w:val="22"/>
        </w:rPr>
        <w:t>myelofibrosis</w:t>
      </w:r>
      <w:proofErr w:type="spellEnd"/>
      <w:r w:rsidRPr="009774B5">
        <w:rPr>
          <w:color w:val="000000"/>
          <w:sz w:val="22"/>
          <w:szCs w:val="22"/>
        </w:rPr>
        <w:t xml:space="preserve"> No. 17 of 2013 [F2013L00416]</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primary </w:t>
      </w:r>
      <w:proofErr w:type="spellStart"/>
      <w:r w:rsidRPr="009774B5">
        <w:rPr>
          <w:color w:val="000000"/>
          <w:sz w:val="22"/>
          <w:szCs w:val="22"/>
        </w:rPr>
        <w:t>myelofibrosis</w:t>
      </w:r>
      <w:proofErr w:type="spellEnd"/>
      <w:r w:rsidRPr="009774B5">
        <w:rPr>
          <w:color w:val="000000"/>
          <w:sz w:val="22"/>
          <w:szCs w:val="22"/>
        </w:rPr>
        <w:t xml:space="preserve"> No. 18 of 2013 [F2013L00412]</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w:t>
      </w:r>
      <w:proofErr w:type="spellStart"/>
      <w:r w:rsidRPr="009774B5">
        <w:rPr>
          <w:color w:val="000000"/>
          <w:sz w:val="22"/>
          <w:szCs w:val="22"/>
        </w:rPr>
        <w:t>seborrhoeic</w:t>
      </w:r>
      <w:proofErr w:type="spellEnd"/>
      <w:r w:rsidRPr="009774B5">
        <w:rPr>
          <w:color w:val="000000"/>
          <w:sz w:val="22"/>
          <w:szCs w:val="22"/>
        </w:rPr>
        <w:t xml:space="preserve"> dermatitis No. 13 of 2013 [F2013L00405]</w:t>
      </w:r>
    </w:p>
    <w:p w:rsidR="000F073E" w:rsidRPr="009774B5" w:rsidRDefault="000F073E" w:rsidP="000F073E">
      <w:pPr>
        <w:spacing w:after="60"/>
        <w:jc w:val="left"/>
        <w:rPr>
          <w:color w:val="000000"/>
          <w:sz w:val="22"/>
          <w:szCs w:val="22"/>
        </w:rPr>
      </w:pPr>
      <w:r w:rsidRPr="009774B5">
        <w:rPr>
          <w:color w:val="000000"/>
          <w:sz w:val="22"/>
          <w:szCs w:val="22"/>
        </w:rPr>
        <w:t xml:space="preserve">Statement of Principles concerning </w:t>
      </w:r>
      <w:proofErr w:type="spellStart"/>
      <w:r w:rsidRPr="009774B5">
        <w:rPr>
          <w:color w:val="000000"/>
          <w:sz w:val="22"/>
          <w:szCs w:val="22"/>
        </w:rPr>
        <w:t>seborrhoeic</w:t>
      </w:r>
      <w:proofErr w:type="spellEnd"/>
      <w:r w:rsidRPr="009774B5">
        <w:rPr>
          <w:color w:val="000000"/>
          <w:sz w:val="22"/>
          <w:szCs w:val="22"/>
        </w:rPr>
        <w:t xml:space="preserve"> dermatitis No. 14 of 2013 [F2013L00407]</w:t>
      </w:r>
    </w:p>
    <w:p w:rsidR="000F073E" w:rsidRPr="009774B5" w:rsidRDefault="000F073E" w:rsidP="006958CB">
      <w:pPr>
        <w:tabs>
          <w:tab w:val="left" w:pos="284"/>
        </w:tabs>
        <w:spacing w:before="120" w:after="120"/>
        <w:ind w:right="-330"/>
        <w:rPr>
          <w:sz w:val="24"/>
          <w:szCs w:val="24"/>
        </w:rPr>
      </w:pPr>
      <w:r w:rsidRPr="009774B5">
        <w:rPr>
          <w:b/>
          <w:i/>
          <w:sz w:val="24"/>
          <w:szCs w:val="24"/>
        </w:rPr>
        <w:t>Water Efficiency Labelling and Standards Act 2005</w:t>
      </w:r>
    </w:p>
    <w:p w:rsidR="000F073E" w:rsidRPr="009774B5" w:rsidRDefault="000F073E" w:rsidP="000F073E">
      <w:pPr>
        <w:spacing w:after="60"/>
        <w:jc w:val="left"/>
        <w:rPr>
          <w:color w:val="000000"/>
          <w:sz w:val="22"/>
          <w:szCs w:val="22"/>
        </w:rPr>
      </w:pPr>
      <w:r w:rsidRPr="009774B5">
        <w:rPr>
          <w:color w:val="000000"/>
          <w:sz w:val="22"/>
          <w:szCs w:val="22"/>
        </w:rPr>
        <w:t>Water Efficiency Labelling and Standards Amendment Regulation 2013 (No. 1) [Select Legislative Instrument 2013 No. 21] [F2013L00398]</w:t>
      </w:r>
    </w:p>
    <w:p w:rsidR="000F073E" w:rsidRDefault="000F073E" w:rsidP="000F073E">
      <w:pPr>
        <w:tabs>
          <w:tab w:val="left" w:pos="284"/>
        </w:tabs>
        <w:ind w:right="-330"/>
      </w:pPr>
    </w:p>
    <w:p w:rsidR="000F073E" w:rsidRPr="00FD3243" w:rsidRDefault="000F073E" w:rsidP="000F073E">
      <w:pPr>
        <w:pStyle w:val="Heading3"/>
        <w:jc w:val="center"/>
      </w:pPr>
      <w:r w:rsidRPr="00FD3243">
        <w:t>Total number of instruments scrutinised: 135</w:t>
      </w:r>
    </w:p>
    <w:p w:rsidR="006606C0" w:rsidRDefault="006606C0" w:rsidP="00325264">
      <w:pPr>
        <w:sectPr w:rsidR="006606C0" w:rsidSect="00396130">
          <w:headerReference w:type="even" r:id="rId23"/>
          <w:headerReference w:type="default" r:id="rId24"/>
          <w:footerReference w:type="even" r:id="rId25"/>
          <w:footerReference w:type="default" r:id="rId26"/>
          <w:headerReference w:type="first" r:id="rId27"/>
          <w:pgSz w:w="11906" w:h="16838" w:code="9"/>
          <w:pgMar w:top="1440" w:right="1440" w:bottom="1202" w:left="1440" w:header="1134" w:footer="720" w:gutter="0"/>
          <w:pgNumType w:start="159"/>
          <w:cols w:space="720"/>
          <w:titlePg/>
        </w:sectPr>
      </w:pPr>
    </w:p>
    <w:p w:rsidR="006606C0" w:rsidRDefault="006606C0" w:rsidP="006606C0">
      <w:pPr>
        <w:pStyle w:val="Heading1"/>
      </w:pPr>
      <w:r>
        <w:lastRenderedPageBreak/>
        <w:t>Appendix 2</w:t>
      </w:r>
    </w:p>
    <w:p w:rsidR="006606C0" w:rsidRPr="00ED30DD" w:rsidRDefault="006606C0" w:rsidP="006606C0">
      <w:pPr>
        <w:pStyle w:val="Heading2"/>
      </w:pPr>
      <w:r>
        <w:t>Guideline on explanatory statements: consultation</w:t>
      </w:r>
    </w:p>
    <w:p w:rsidR="006606C0" w:rsidRDefault="006606C0">
      <w:pPr>
        <w:spacing w:after="0"/>
        <w:jc w:val="left"/>
      </w:pPr>
      <w:r>
        <w:br w:type="page"/>
      </w:r>
    </w:p>
    <w:p w:rsidR="006606C0" w:rsidRDefault="006606C0" w:rsidP="00325264"/>
    <w:p w:rsidR="006606C0" w:rsidRDefault="006606C0" w:rsidP="00325264">
      <w:pPr>
        <w:sectPr w:rsidR="006606C0" w:rsidSect="0084186A">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202" w:left="1440" w:header="1134" w:footer="720" w:gutter="0"/>
          <w:pgNumType w:start="167"/>
          <w:cols w:space="720"/>
          <w:titlePg/>
        </w:sectPr>
      </w:pPr>
    </w:p>
    <w:p w:rsidR="006606C0" w:rsidRPr="00390F32" w:rsidRDefault="006606C0" w:rsidP="006606C0">
      <w:pPr>
        <w:jc w:val="center"/>
        <w:rPr>
          <w:rFonts w:ascii="Calibri" w:hAnsi="Calibri"/>
        </w:rPr>
      </w:pPr>
      <w:r>
        <w:rPr>
          <w:rFonts w:ascii="Calibri" w:hAnsi="Calibri"/>
          <w:noProof/>
          <w:lang w:eastAsia="en-AU"/>
        </w:rPr>
        <w:lastRenderedPageBreak/>
        <w:drawing>
          <wp:inline distT="0" distB="0" distL="0" distR="0">
            <wp:extent cx="775335" cy="5924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75335" cy="592455"/>
                    </a:xfrm>
                    <a:prstGeom prst="rect">
                      <a:avLst/>
                    </a:prstGeom>
                    <a:noFill/>
                    <a:ln>
                      <a:noFill/>
                    </a:ln>
                  </pic:spPr>
                </pic:pic>
              </a:graphicData>
            </a:graphic>
          </wp:inline>
        </w:drawing>
      </w:r>
    </w:p>
    <w:p w:rsidR="006606C0" w:rsidRPr="00390F32" w:rsidRDefault="006606C0" w:rsidP="006606C0">
      <w:pPr>
        <w:spacing w:after="0"/>
        <w:jc w:val="center"/>
        <w:rPr>
          <w:rFonts w:ascii="Calibri" w:hAnsi="Calibri"/>
          <w:sz w:val="18"/>
        </w:rPr>
      </w:pPr>
      <w:r w:rsidRPr="00390F32">
        <w:rPr>
          <w:rFonts w:ascii="Calibri" w:hAnsi="Calibri"/>
          <w:sz w:val="18"/>
        </w:rPr>
        <w:t>AUSTRALIAN SENATE</w:t>
      </w:r>
    </w:p>
    <w:p w:rsidR="006606C0" w:rsidRPr="00390F32" w:rsidRDefault="006606C0" w:rsidP="006606C0">
      <w:pPr>
        <w:spacing w:after="0"/>
        <w:jc w:val="center"/>
        <w:rPr>
          <w:rFonts w:ascii="Calibri" w:hAnsi="Calibri"/>
          <w:sz w:val="20"/>
        </w:rPr>
      </w:pPr>
    </w:p>
    <w:p w:rsidR="006606C0" w:rsidRPr="00390F32" w:rsidRDefault="006606C0" w:rsidP="006606C0">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6606C0" w:rsidRPr="00390F32" w:rsidRDefault="006606C0" w:rsidP="006606C0">
      <w:pPr>
        <w:spacing w:after="120"/>
        <w:jc w:val="center"/>
        <w:rPr>
          <w:rFonts w:ascii="Calibri" w:hAnsi="Calibri"/>
          <w:b/>
          <w:sz w:val="28"/>
          <w:szCs w:val="28"/>
        </w:rPr>
      </w:pPr>
      <w:r w:rsidRPr="00390F32">
        <w:rPr>
          <w:rFonts w:ascii="Calibri" w:hAnsi="Calibri"/>
          <w:b/>
          <w:sz w:val="28"/>
          <w:szCs w:val="28"/>
        </w:rPr>
        <w:t>Guideline for preparation of explanatory statements: consultation</w:t>
      </w:r>
    </w:p>
    <w:p w:rsidR="006606C0" w:rsidRPr="00390F32" w:rsidRDefault="006606C0" w:rsidP="006606C0">
      <w:pPr>
        <w:spacing w:after="120"/>
        <w:rPr>
          <w:rFonts w:ascii="Calibri" w:hAnsi="Calibri"/>
          <w:szCs w:val="24"/>
        </w:rPr>
      </w:pPr>
    </w:p>
    <w:p w:rsidR="006606C0" w:rsidRPr="00390F32" w:rsidRDefault="006606C0" w:rsidP="006606C0">
      <w:pPr>
        <w:spacing w:after="120"/>
        <w:rPr>
          <w:rFonts w:ascii="Calibri" w:hAnsi="Calibri"/>
          <w:b/>
          <w:i/>
          <w:szCs w:val="24"/>
        </w:rPr>
      </w:pPr>
      <w:r w:rsidRPr="00390F32">
        <w:rPr>
          <w:rFonts w:ascii="Calibri" w:hAnsi="Calibri"/>
          <w:b/>
          <w:i/>
          <w:szCs w:val="24"/>
        </w:rPr>
        <w:t>Role of the committee</w:t>
      </w:r>
    </w:p>
    <w:p w:rsidR="006606C0" w:rsidRPr="00390F32" w:rsidRDefault="006606C0" w:rsidP="006606C0">
      <w:pPr>
        <w:spacing w:after="0"/>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35" w:history="1">
        <w:r w:rsidRPr="00390F32">
          <w:rPr>
            <w:rStyle w:val="Hyperlink"/>
            <w:rFonts w:ascii="Calibri" w:hAnsi="Calibri"/>
            <w:szCs w:val="24"/>
          </w:rPr>
          <w:t>non-pa</w:t>
        </w:r>
        <w:r w:rsidRPr="00390F32">
          <w:rPr>
            <w:rStyle w:val="Hyperlink"/>
            <w:rFonts w:ascii="Calibri" w:hAnsi="Calibri"/>
            <w:szCs w:val="24"/>
          </w:rPr>
          <w:t>r</w:t>
        </w:r>
        <w:r w:rsidRPr="00390F32">
          <w:rPr>
            <w:rStyle w:val="Hyperlink"/>
            <w:rFonts w:ascii="Calibri" w:hAnsi="Calibri"/>
            <w:szCs w:val="24"/>
          </w:rPr>
          <w:t>tisan principles</w:t>
        </w:r>
      </w:hyperlink>
      <w:r w:rsidRPr="00390F32">
        <w:rPr>
          <w:rFonts w:ascii="Calibri" w:hAnsi="Calibri"/>
          <w:szCs w:val="24"/>
        </w:rPr>
        <w:t xml:space="preserve"> of personal rights and parliamentary propriety.</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b/>
          <w:i/>
          <w:szCs w:val="24"/>
        </w:rPr>
      </w:pPr>
      <w:r w:rsidRPr="00390F32">
        <w:rPr>
          <w:rFonts w:ascii="Calibri" w:hAnsi="Calibri"/>
          <w:b/>
          <w:i/>
          <w:szCs w:val="24"/>
        </w:rPr>
        <w:t>Purpose of guideline</w:t>
      </w:r>
    </w:p>
    <w:p w:rsidR="006606C0" w:rsidRPr="00390F32" w:rsidRDefault="006606C0" w:rsidP="006606C0">
      <w:pPr>
        <w:spacing w:after="0"/>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36" w:history="1">
        <w:r w:rsidRPr="00390F32">
          <w:rPr>
            <w:rStyle w:val="Hyperlink"/>
            <w:rFonts w:ascii="Calibri" w:hAnsi="Calibri"/>
            <w:i/>
            <w:szCs w:val="24"/>
          </w:rPr>
          <w:t>Legislative Inst</w:t>
        </w:r>
        <w:r w:rsidRPr="00390F32">
          <w:rPr>
            <w:rStyle w:val="Hyperlink"/>
            <w:rFonts w:ascii="Calibri" w:hAnsi="Calibri"/>
            <w:i/>
            <w:szCs w:val="24"/>
          </w:rPr>
          <w:t>r</w:t>
        </w:r>
        <w:r w:rsidRPr="00390F32">
          <w:rPr>
            <w:rStyle w:val="Hyperlink"/>
            <w:rFonts w:ascii="Calibri" w:hAnsi="Calibri"/>
            <w:i/>
            <w:szCs w:val="24"/>
          </w:rPr>
          <w:t>u</w:t>
        </w:r>
        <w:r w:rsidRPr="00390F32">
          <w:rPr>
            <w:rStyle w:val="Hyperlink"/>
            <w:rFonts w:ascii="Calibri" w:hAnsi="Calibri"/>
            <w:i/>
            <w:szCs w:val="24"/>
          </w:rPr>
          <w:t>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37" w:history="1">
        <w:r w:rsidRPr="00390F32">
          <w:rPr>
            <w:rStyle w:val="Hyperlink"/>
            <w:rFonts w:ascii="Calibri" w:hAnsi="Calibri"/>
            <w:szCs w:val="24"/>
          </w:rPr>
          <w:t>disal</w:t>
        </w:r>
        <w:r w:rsidRPr="00390F32">
          <w:rPr>
            <w:rStyle w:val="Hyperlink"/>
            <w:rFonts w:ascii="Calibri" w:hAnsi="Calibri"/>
            <w:szCs w:val="24"/>
          </w:rPr>
          <w:t>l</w:t>
        </w:r>
        <w:r w:rsidRPr="00390F32">
          <w:rPr>
            <w:rStyle w:val="Hyperlink"/>
            <w:rFonts w:ascii="Calibri" w:hAnsi="Calibri"/>
            <w:szCs w:val="24"/>
          </w:rPr>
          <w:t>o</w:t>
        </w:r>
        <w:r w:rsidRPr="00390F32">
          <w:rPr>
            <w:rStyle w:val="Hyperlink"/>
            <w:rFonts w:ascii="Calibri" w:hAnsi="Calibri"/>
            <w:szCs w:val="24"/>
          </w:rPr>
          <w:t>w</w:t>
        </w:r>
        <w:r w:rsidRPr="00390F32">
          <w:rPr>
            <w:rStyle w:val="Hyperlink"/>
            <w:rFonts w:ascii="Calibri" w:hAnsi="Calibri"/>
            <w:szCs w:val="24"/>
          </w:rPr>
          <w:t>ance</w:t>
        </w:r>
      </w:hyperlink>
      <w:r w:rsidRPr="00390F32">
        <w:rPr>
          <w:rFonts w:ascii="Calibri" w:hAnsi="Calibri"/>
          <w:szCs w:val="24"/>
        </w:rPr>
        <w: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6606C0" w:rsidRPr="00390F32" w:rsidRDefault="006606C0" w:rsidP="006606C0">
      <w:pPr>
        <w:spacing w:after="0"/>
        <w:rPr>
          <w:rFonts w:ascii="Calibri" w:hAnsi="Calibri"/>
          <w:szCs w:val="24"/>
        </w:rPr>
      </w:pPr>
    </w:p>
    <w:p w:rsidR="006606C0" w:rsidRDefault="006606C0">
      <w:pPr>
        <w:spacing w:after="0"/>
        <w:jc w:val="left"/>
        <w:rPr>
          <w:rFonts w:ascii="Calibri" w:hAnsi="Calibri"/>
          <w:b/>
          <w:i/>
          <w:szCs w:val="24"/>
        </w:rPr>
      </w:pPr>
      <w:r>
        <w:rPr>
          <w:rFonts w:ascii="Calibri" w:hAnsi="Calibri"/>
          <w:b/>
          <w:i/>
          <w:szCs w:val="24"/>
        </w:rPr>
        <w:br w:type="page"/>
      </w:r>
    </w:p>
    <w:p w:rsidR="006606C0" w:rsidRPr="00390F32" w:rsidRDefault="006606C0" w:rsidP="006606C0">
      <w:pPr>
        <w:spacing w:after="120"/>
        <w:rPr>
          <w:rFonts w:ascii="Calibri" w:hAnsi="Calibri"/>
          <w:b/>
          <w:szCs w:val="24"/>
        </w:rPr>
      </w:pPr>
      <w:r w:rsidRPr="00390F32">
        <w:rPr>
          <w:rFonts w:ascii="Calibri" w:hAnsi="Calibri"/>
          <w:b/>
          <w:i/>
          <w:szCs w:val="24"/>
        </w:rPr>
        <w:lastRenderedPageBreak/>
        <w:t>Requirements of the</w:t>
      </w:r>
      <w:r w:rsidRPr="00390F32">
        <w:rPr>
          <w:rFonts w:ascii="Calibri" w:hAnsi="Calibri"/>
          <w:b/>
          <w:szCs w:val="24"/>
        </w:rPr>
        <w:t xml:space="preserve"> Legislative Instruments Act 2003</w:t>
      </w:r>
    </w:p>
    <w:p w:rsidR="006606C0" w:rsidRPr="00390F32" w:rsidRDefault="006606C0" w:rsidP="006606C0">
      <w:pPr>
        <w:spacing w:after="0"/>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If a RIS or similar assessment has been prepared, it should be provided to the committee along with the ES.</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b/>
          <w:i/>
          <w:szCs w:val="24"/>
        </w:rPr>
      </w:pPr>
      <w:r w:rsidRPr="00390F32">
        <w:rPr>
          <w:rFonts w:ascii="Calibri" w:hAnsi="Calibri"/>
          <w:b/>
          <w:i/>
          <w:szCs w:val="24"/>
        </w:rPr>
        <w:t>Describing the nature of consultation</w:t>
      </w:r>
    </w:p>
    <w:p w:rsidR="006606C0" w:rsidRPr="00390F32" w:rsidRDefault="006606C0" w:rsidP="006606C0">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xml:space="preserve">. The committee does not usually interpret this as requiring a highly detailed description of any consultation undertaken. However, a bare or </w:t>
      </w:r>
      <w:proofErr w:type="gramStart"/>
      <w:r w:rsidRPr="00390F32">
        <w:rPr>
          <w:rFonts w:ascii="Calibri" w:hAnsi="Calibri"/>
          <w:szCs w:val="24"/>
        </w:rPr>
        <w:t>very</w:t>
      </w:r>
      <w:proofErr w:type="gramEnd"/>
      <w:r w:rsidRPr="00390F32">
        <w:rPr>
          <w:rFonts w:ascii="Calibri" w:hAnsi="Calibri"/>
          <w:szCs w:val="24"/>
        </w:rPr>
        <w:t xml:space="preserve"> generalised statement of the fact that consultation has taken place may be considered insufficient to meet the requirements of the Act.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Where consultation has taken place, the ES to an instrument should set out the following information:</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i/>
          <w:szCs w:val="24"/>
        </w:rPr>
      </w:pPr>
      <w:r w:rsidRPr="00390F32">
        <w:rPr>
          <w:rFonts w:ascii="Calibri" w:hAnsi="Calibri"/>
          <w:i/>
          <w:szCs w:val="24"/>
        </w:rPr>
        <w:t>Method and purpose of consultation</w:t>
      </w:r>
    </w:p>
    <w:p w:rsidR="006606C0" w:rsidRPr="00390F32" w:rsidRDefault="006606C0" w:rsidP="006606C0">
      <w:pPr>
        <w:spacing w:after="0"/>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6606C0" w:rsidRPr="00390F32" w:rsidRDefault="006606C0" w:rsidP="006606C0">
      <w:pPr>
        <w:spacing w:after="0"/>
        <w:rPr>
          <w:rFonts w:ascii="Calibri" w:hAnsi="Calibri"/>
          <w:szCs w:val="24"/>
        </w:rPr>
      </w:pPr>
    </w:p>
    <w:p w:rsidR="006606C0" w:rsidRDefault="006606C0">
      <w:pPr>
        <w:spacing w:after="0"/>
        <w:jc w:val="left"/>
        <w:rPr>
          <w:rFonts w:ascii="Calibri" w:hAnsi="Calibri"/>
          <w:i/>
          <w:szCs w:val="24"/>
        </w:rPr>
      </w:pPr>
      <w:r>
        <w:rPr>
          <w:rFonts w:ascii="Calibri" w:hAnsi="Calibri"/>
          <w:i/>
          <w:szCs w:val="24"/>
        </w:rPr>
        <w:br w:type="page"/>
      </w:r>
    </w:p>
    <w:p w:rsidR="006606C0" w:rsidRPr="00390F32" w:rsidRDefault="006606C0" w:rsidP="006606C0">
      <w:pPr>
        <w:spacing w:after="120"/>
        <w:rPr>
          <w:rFonts w:ascii="Calibri" w:hAnsi="Calibri"/>
          <w:i/>
          <w:szCs w:val="24"/>
        </w:rPr>
      </w:pPr>
      <w:r w:rsidRPr="00390F32">
        <w:rPr>
          <w:rFonts w:ascii="Calibri" w:hAnsi="Calibri"/>
          <w:i/>
          <w:szCs w:val="24"/>
        </w:rPr>
        <w:lastRenderedPageBreak/>
        <w:t>Bodies/groups/individuals consulted</w:t>
      </w:r>
    </w:p>
    <w:p w:rsidR="006606C0" w:rsidRPr="00390F32" w:rsidRDefault="006606C0" w:rsidP="006606C0">
      <w:pPr>
        <w:spacing w:after="0"/>
        <w:rPr>
          <w:rFonts w:ascii="Calibri" w:hAnsi="Calibri"/>
          <w:szCs w:val="24"/>
        </w:rPr>
      </w:pPr>
      <w:r w:rsidRPr="00390F32">
        <w:rPr>
          <w:rFonts w:ascii="Calibri" w:hAnsi="Calibri"/>
          <w:szCs w:val="24"/>
        </w:rPr>
        <w:t xml:space="preserve">An ES should specify the actual names of departments, bodies, agencies, </w:t>
      </w:r>
      <w:proofErr w:type="gramStart"/>
      <w:r w:rsidRPr="00390F32">
        <w:rPr>
          <w:rFonts w:ascii="Calibri" w:hAnsi="Calibri"/>
          <w:szCs w:val="24"/>
        </w:rPr>
        <w:t>groups</w:t>
      </w:r>
      <w:proofErr w:type="gramEnd"/>
      <w:r w:rsidRPr="00390F32">
        <w:rPr>
          <w:rFonts w:ascii="Calibri" w:hAnsi="Calibri"/>
          <w:szCs w:val="24"/>
        </w:rPr>
        <w:t xml:space="preserve"> et cetera that were consulted. An ES should avoid overly generalised statements such as 'Relevant stakeholders were consulted'.</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i/>
          <w:szCs w:val="24"/>
        </w:rPr>
      </w:pPr>
      <w:r w:rsidRPr="00390F32">
        <w:rPr>
          <w:rFonts w:ascii="Calibri" w:hAnsi="Calibri"/>
          <w:i/>
          <w:szCs w:val="24"/>
        </w:rPr>
        <w:t>Issues raised in consultations and outcomes</w:t>
      </w:r>
    </w:p>
    <w:p w:rsidR="006606C0" w:rsidRPr="00390F32" w:rsidRDefault="006606C0" w:rsidP="006606C0">
      <w:pPr>
        <w:spacing w:after="0"/>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b/>
          <w:i/>
          <w:szCs w:val="24"/>
        </w:rPr>
      </w:pPr>
      <w:r w:rsidRPr="00390F32">
        <w:rPr>
          <w:rFonts w:ascii="Calibri" w:hAnsi="Calibri"/>
          <w:b/>
          <w:i/>
          <w:szCs w:val="24"/>
        </w:rPr>
        <w:t>Explaining why consultation has not been undertaken</w:t>
      </w:r>
    </w:p>
    <w:p w:rsidR="006606C0" w:rsidRPr="00390F32" w:rsidRDefault="006606C0" w:rsidP="006606C0">
      <w:pPr>
        <w:spacing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In explaining why no consultation has taken place, it is important to note the following considerations:</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i/>
          <w:szCs w:val="24"/>
        </w:rPr>
      </w:pPr>
      <w:r w:rsidRPr="00390F32">
        <w:rPr>
          <w:rFonts w:ascii="Calibri" w:hAnsi="Calibri"/>
          <w:i/>
          <w:szCs w:val="24"/>
        </w:rPr>
        <w:t>Specific examples listed in the Act</w:t>
      </w:r>
    </w:p>
    <w:p w:rsidR="006606C0" w:rsidRPr="00390F32" w:rsidRDefault="006606C0" w:rsidP="006606C0">
      <w:pPr>
        <w:spacing w:after="0"/>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6606C0" w:rsidRPr="00390F32" w:rsidRDefault="006606C0" w:rsidP="006606C0">
      <w:pPr>
        <w:spacing w:after="0"/>
        <w:rPr>
          <w:rFonts w:ascii="Calibri" w:hAnsi="Calibri"/>
          <w:szCs w:val="24"/>
        </w:rPr>
      </w:pPr>
    </w:p>
    <w:p w:rsidR="006606C0" w:rsidRPr="00390F32" w:rsidRDefault="006606C0" w:rsidP="006606C0">
      <w:pPr>
        <w:spacing w:after="120"/>
        <w:rPr>
          <w:rFonts w:ascii="Calibri" w:hAnsi="Calibri"/>
          <w:i/>
          <w:szCs w:val="24"/>
        </w:rPr>
      </w:pPr>
      <w:r w:rsidRPr="00390F32">
        <w:rPr>
          <w:rFonts w:ascii="Calibri" w:hAnsi="Calibri"/>
          <w:i/>
          <w:szCs w:val="24"/>
        </w:rPr>
        <w:t>Timing of consultation</w:t>
      </w:r>
    </w:p>
    <w:p w:rsidR="006606C0" w:rsidRPr="00390F32" w:rsidRDefault="006606C0" w:rsidP="006606C0">
      <w:pPr>
        <w:spacing w:after="0"/>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6606C0" w:rsidRPr="00390F32" w:rsidRDefault="006606C0" w:rsidP="006606C0">
      <w:pPr>
        <w:spacing w:after="120"/>
        <w:rPr>
          <w:rFonts w:ascii="Calibri" w:hAnsi="Calibri"/>
          <w:b/>
          <w:i/>
          <w:szCs w:val="24"/>
        </w:rPr>
      </w:pPr>
      <w:bookmarkStart w:id="8" w:name="_GoBack"/>
      <w:bookmarkEnd w:id="8"/>
      <w:r w:rsidRPr="00390F32">
        <w:rPr>
          <w:rFonts w:ascii="Calibri" w:hAnsi="Calibri"/>
          <w:b/>
          <w:i/>
          <w:szCs w:val="24"/>
        </w:rPr>
        <w:lastRenderedPageBreak/>
        <w:t>Seeking further advice or information</w:t>
      </w:r>
    </w:p>
    <w:p w:rsidR="006606C0" w:rsidRPr="00390F32" w:rsidRDefault="006606C0" w:rsidP="006606C0">
      <w:pPr>
        <w:spacing w:after="0"/>
        <w:rPr>
          <w:rFonts w:ascii="Calibri" w:hAnsi="Calibri"/>
          <w:szCs w:val="24"/>
        </w:rPr>
      </w:pPr>
      <w:r w:rsidRPr="00390F32">
        <w:rPr>
          <w:rFonts w:ascii="Calibri" w:hAnsi="Calibri"/>
          <w:szCs w:val="24"/>
        </w:rPr>
        <w:t xml:space="preserve">For further advice regarding the requirements of the Act in relation to consultation or any other matters, please consult the </w:t>
      </w:r>
      <w:r w:rsidRPr="00390F32">
        <w:rPr>
          <w:rFonts w:ascii="Calibri" w:hAnsi="Calibri"/>
          <w:i/>
          <w:szCs w:val="24"/>
        </w:rPr>
        <w:t>Legislative Instruments Handbook: a practical guide for compliance with the Legislative Instruments Act 2003 and related matters (December 2004)</w:t>
      </w:r>
      <w:r w:rsidRPr="00390F32">
        <w:rPr>
          <w:rFonts w:ascii="Calibri" w:hAnsi="Calibri"/>
          <w:szCs w:val="24"/>
        </w:rPr>
        <w:t>, published by the Office of Legislative Drafting and Publishing.</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Further information is also available through the committee's website at </w:t>
      </w:r>
      <w:hyperlink r:id="rId38" w:history="1">
        <w:r w:rsidRPr="00DB5BC8">
          <w:rPr>
            <w:rStyle w:val="Hyperlink"/>
            <w:rFonts w:ascii="Calibri" w:hAnsi="Calibri"/>
            <w:szCs w:val="24"/>
          </w:rPr>
          <w:t>http://www.aph.gov.au/Parliamentary_Business/Committees/Senate_Committees?url=regord_ctte/index.htm</w:t>
        </w:r>
      </w:hyperlink>
      <w:r>
        <w:rPr>
          <w:rFonts w:ascii="Calibri" w:hAnsi="Calibri"/>
          <w:szCs w:val="24"/>
        </w:rPr>
        <w:t xml:space="preserve"> </w:t>
      </w:r>
      <w:r w:rsidRPr="00390F32">
        <w:rPr>
          <w:rFonts w:ascii="Calibri" w:hAnsi="Calibri"/>
          <w:szCs w:val="24"/>
        </w:rPr>
        <w:t>or by contacting the committee secretariat at:</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Committee Secretary</w:t>
      </w:r>
    </w:p>
    <w:p w:rsidR="006606C0" w:rsidRPr="00390F32" w:rsidRDefault="006606C0" w:rsidP="006606C0">
      <w:pPr>
        <w:spacing w:after="0"/>
        <w:rPr>
          <w:rFonts w:ascii="Calibri" w:hAnsi="Calibri"/>
          <w:szCs w:val="24"/>
        </w:rPr>
      </w:pPr>
      <w:r w:rsidRPr="00390F32">
        <w:rPr>
          <w:rFonts w:ascii="Calibri" w:hAnsi="Calibri"/>
          <w:szCs w:val="24"/>
        </w:rPr>
        <w:t>Senate Regulations and Ordinances Committee</w:t>
      </w:r>
    </w:p>
    <w:p w:rsidR="006606C0" w:rsidRPr="00390F32" w:rsidRDefault="006606C0" w:rsidP="006606C0">
      <w:pPr>
        <w:spacing w:after="0"/>
        <w:rPr>
          <w:rFonts w:ascii="Calibri" w:hAnsi="Calibri"/>
          <w:szCs w:val="24"/>
        </w:rPr>
      </w:pPr>
      <w:r w:rsidRPr="00390F32">
        <w:rPr>
          <w:rFonts w:ascii="Calibri" w:hAnsi="Calibri"/>
          <w:szCs w:val="24"/>
        </w:rPr>
        <w:t>PO Box 6100</w:t>
      </w:r>
    </w:p>
    <w:p w:rsidR="006606C0" w:rsidRPr="00390F32" w:rsidRDefault="006606C0" w:rsidP="006606C0">
      <w:pPr>
        <w:spacing w:after="0"/>
        <w:rPr>
          <w:rFonts w:ascii="Calibri" w:hAnsi="Calibri"/>
          <w:szCs w:val="24"/>
        </w:rPr>
      </w:pPr>
      <w:r w:rsidRPr="00390F32">
        <w:rPr>
          <w:rFonts w:ascii="Calibri" w:hAnsi="Calibri"/>
          <w:szCs w:val="24"/>
        </w:rPr>
        <w:t>Parliament House</w:t>
      </w:r>
    </w:p>
    <w:p w:rsidR="006606C0" w:rsidRPr="00390F32" w:rsidRDefault="006606C0" w:rsidP="006606C0">
      <w:pPr>
        <w:spacing w:after="0"/>
        <w:rPr>
          <w:rFonts w:ascii="Calibri" w:hAnsi="Calibri"/>
          <w:szCs w:val="24"/>
        </w:rPr>
      </w:pPr>
      <w:r w:rsidRPr="00390F32">
        <w:rPr>
          <w:rFonts w:ascii="Calibri" w:hAnsi="Calibri"/>
          <w:szCs w:val="24"/>
        </w:rPr>
        <w:t>Canberra ACT 2600</w:t>
      </w:r>
    </w:p>
    <w:p w:rsidR="006606C0" w:rsidRPr="00390F32" w:rsidRDefault="006606C0" w:rsidP="006606C0">
      <w:pPr>
        <w:spacing w:after="0"/>
        <w:rPr>
          <w:rFonts w:ascii="Calibri" w:hAnsi="Calibri"/>
          <w:szCs w:val="24"/>
        </w:rPr>
      </w:pPr>
      <w:r w:rsidRPr="00390F32">
        <w:rPr>
          <w:rFonts w:ascii="Calibri" w:hAnsi="Calibri"/>
          <w:szCs w:val="24"/>
        </w:rPr>
        <w:t>Australia</w:t>
      </w:r>
    </w:p>
    <w:p w:rsidR="006606C0" w:rsidRPr="00390F32" w:rsidRDefault="006606C0" w:rsidP="006606C0">
      <w:pPr>
        <w:spacing w:after="0"/>
        <w:rPr>
          <w:rFonts w:ascii="Calibri" w:hAnsi="Calibri"/>
          <w:szCs w:val="24"/>
        </w:rPr>
      </w:pPr>
    </w:p>
    <w:p w:rsidR="006606C0" w:rsidRPr="00390F32" w:rsidRDefault="006606C0" w:rsidP="006606C0">
      <w:pPr>
        <w:spacing w:after="0"/>
        <w:rPr>
          <w:rFonts w:ascii="Calibri" w:hAnsi="Calibri"/>
          <w:szCs w:val="24"/>
        </w:rPr>
      </w:pPr>
      <w:r w:rsidRPr="00390F32">
        <w:rPr>
          <w:rFonts w:ascii="Calibri" w:hAnsi="Calibri"/>
          <w:szCs w:val="24"/>
        </w:rPr>
        <w:t xml:space="preserve">Phone: +61 2 6277 3066 </w:t>
      </w:r>
    </w:p>
    <w:p w:rsidR="006606C0" w:rsidRPr="00390F32" w:rsidRDefault="006606C0" w:rsidP="006606C0">
      <w:pPr>
        <w:spacing w:after="0"/>
        <w:rPr>
          <w:rFonts w:ascii="Calibri" w:hAnsi="Calibri"/>
          <w:szCs w:val="24"/>
        </w:rPr>
      </w:pPr>
      <w:r w:rsidRPr="00390F32">
        <w:rPr>
          <w:rFonts w:ascii="Calibri" w:hAnsi="Calibri"/>
          <w:szCs w:val="24"/>
        </w:rPr>
        <w:t xml:space="preserve">Fax: +61 2 6277 5881 </w:t>
      </w:r>
    </w:p>
    <w:p w:rsidR="006606C0" w:rsidRPr="00561AF0" w:rsidRDefault="006606C0" w:rsidP="006606C0">
      <w:pPr>
        <w:spacing w:after="0"/>
        <w:rPr>
          <w:rFonts w:ascii="Calibri" w:hAnsi="Calibri"/>
          <w:szCs w:val="24"/>
        </w:rPr>
      </w:pPr>
      <w:r w:rsidRPr="00390F32">
        <w:rPr>
          <w:rFonts w:ascii="Calibri" w:hAnsi="Calibri"/>
          <w:szCs w:val="24"/>
        </w:rPr>
        <w:t xml:space="preserve">Email: </w:t>
      </w:r>
      <w:hyperlink r:id="rId39" w:history="1">
        <w:r w:rsidRPr="00390F32">
          <w:rPr>
            <w:rStyle w:val="Hyperlink"/>
            <w:rFonts w:ascii="Calibri" w:hAnsi="Calibri"/>
            <w:szCs w:val="24"/>
          </w:rPr>
          <w:t>RegOrds.Sen@aph.gov.au</w:t>
        </w:r>
      </w:hyperlink>
    </w:p>
    <w:p w:rsidR="00520991" w:rsidRPr="00520991" w:rsidRDefault="00520991" w:rsidP="006606C0">
      <w:pPr>
        <w:spacing w:after="0"/>
      </w:pPr>
    </w:p>
    <w:sectPr w:rsidR="00520991" w:rsidRPr="00520991" w:rsidSect="00644843">
      <w:headerReference w:type="even" r:id="rId40"/>
      <w:headerReference w:type="default" r:id="rId41"/>
      <w:footerReference w:type="default" r:id="rId42"/>
      <w:pgSz w:w="11907" w:h="16840" w:code="9"/>
      <w:pgMar w:top="624" w:right="1361" w:bottom="1202" w:left="1361" w:header="720" w:footer="720"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39" w:rsidRDefault="00CF1039">
      <w:r>
        <w:separator/>
      </w:r>
    </w:p>
  </w:endnote>
  <w:endnote w:type="continuationSeparator" w:id="0">
    <w:p w:rsidR="00CF1039" w:rsidRDefault="00CF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978109"/>
      <w:docPartObj>
        <w:docPartGallery w:val="Page Numbers (Bottom of Page)"/>
        <w:docPartUnique/>
      </w:docPartObj>
    </w:sdtPr>
    <w:sdtEndPr>
      <w:rPr>
        <w:noProof/>
      </w:rPr>
    </w:sdtEndPr>
    <w:sdtContent>
      <w:p w:rsidR="00CF1039" w:rsidRDefault="00CF1039">
        <w:pPr>
          <w:pStyle w:val="Footer"/>
          <w:jc w:val="center"/>
        </w:pPr>
        <w:r>
          <w:fldChar w:fldCharType="begin"/>
        </w:r>
        <w:r>
          <w:instrText xml:space="preserve"> PAGE   \* MERGEFORMAT </w:instrText>
        </w:r>
        <w:r>
          <w:fldChar w:fldCharType="separate"/>
        </w:r>
        <w:r w:rsidR="006606C0">
          <w:rPr>
            <w:noProof/>
          </w:rPr>
          <w:t>iv</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0F" w:rsidRDefault="00660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06889"/>
      <w:docPartObj>
        <w:docPartGallery w:val="Page Numbers (Bottom of Page)"/>
        <w:docPartUnique/>
      </w:docPartObj>
    </w:sdtPr>
    <w:sdtEndPr>
      <w:rPr>
        <w:noProof/>
      </w:rPr>
    </w:sdtEndPr>
    <w:sdtContent>
      <w:p w:rsidR="00CF1039" w:rsidRDefault="00CF1039">
        <w:pPr>
          <w:pStyle w:val="Footer"/>
          <w:jc w:val="center"/>
        </w:pPr>
        <w:r>
          <w:fldChar w:fldCharType="begin"/>
        </w:r>
        <w:r>
          <w:instrText xml:space="preserve"> PAGE   \* MERGEFORMAT </w:instrText>
        </w:r>
        <w:r>
          <w:fldChar w:fldCharType="separate"/>
        </w:r>
        <w:r w:rsidR="006606C0">
          <w:rPr>
            <w:noProof/>
          </w:rPr>
          <w:t>v</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Footer"/>
      <w:tabs>
        <w:tab w:val="clear" w:pos="4153"/>
        <w:tab w:val="clear" w:pos="8306"/>
        <w:tab w:val="right" w:pos="900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6606C0">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6606C0">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39" w:rsidRDefault="00CF1039">
      <w:r>
        <w:separator/>
      </w:r>
    </w:p>
  </w:footnote>
  <w:footnote w:type="continuationSeparator" w:id="0">
    <w:p w:rsidR="00CF1039" w:rsidRDefault="00CF1039">
      <w:r>
        <w:continuationSeparator/>
      </w:r>
    </w:p>
  </w:footnote>
  <w:footnote w:id="1">
    <w:p w:rsidR="00CF1039" w:rsidRPr="00F61935" w:rsidRDefault="00CF1039" w:rsidP="00CA3499">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CF1039" w:rsidRPr="00ED4CC3" w:rsidRDefault="00CF1039" w:rsidP="00CA3499">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proofErr w:type="spellStart"/>
      <w:r>
        <w:rPr>
          <w:i/>
        </w:rPr>
        <w:t>Odger's</w:t>
      </w:r>
      <w:proofErr w:type="spellEnd"/>
      <w:r>
        <w:rPr>
          <w:i/>
        </w:rPr>
        <w:t xml:space="preserve"> Australian Senate Practice</w:t>
      </w:r>
      <w:r>
        <w:t>, 13</w:t>
      </w:r>
      <w:r w:rsidRPr="006320C6">
        <w:rPr>
          <w:vertAlign w:val="superscript"/>
        </w:rPr>
        <w:t>th</w:t>
      </w:r>
      <w:r>
        <w:t xml:space="preserve"> Edition (2012), Chapter 15.</w:t>
      </w:r>
    </w:p>
  </w:footnote>
  <w:footnote w:id="3">
    <w:p w:rsidR="00CF1039" w:rsidRPr="006E37C3" w:rsidRDefault="00CF1039" w:rsidP="00CA3499">
      <w:pPr>
        <w:pStyle w:val="FootnoteText"/>
        <w:spacing w:after="120"/>
      </w:pPr>
      <w:r w:rsidRPr="006E37C3">
        <w:rPr>
          <w:rStyle w:val="FootnoteReference"/>
          <w:vertAlign w:val="baseline"/>
        </w:rPr>
        <w:footnoteRef/>
      </w:r>
      <w:r w:rsidRPr="006E37C3">
        <w:t xml:space="preserve"> </w:t>
      </w:r>
      <w:r>
        <w:tab/>
        <w:t>'Last day to disallow' refers to the last day on which notice may be given of a motion for disallowance in the Senate.</w:t>
      </w:r>
    </w:p>
  </w:footnote>
  <w:footnote w:id="4">
    <w:p w:rsidR="00CF1039" w:rsidRPr="00940F8E" w:rsidRDefault="00CF1039" w:rsidP="00CA3499">
      <w:pPr>
        <w:pStyle w:val="FootnoteText"/>
        <w:spacing w:after="120"/>
      </w:pPr>
      <w:r w:rsidRPr="00940F8E">
        <w:rPr>
          <w:rStyle w:val="FootnoteReference"/>
          <w:vertAlign w:val="baseline"/>
        </w:rPr>
        <w:footnoteRef/>
      </w:r>
      <w:r w:rsidRPr="00940F8E">
        <w:t xml:space="preserve"> </w:t>
      </w:r>
      <w:r>
        <w:tab/>
      </w:r>
      <w:r w:rsidRPr="00EC1A30">
        <w:t xml:space="preserve">The committee's guideline on addressing the consultation requirements of the </w:t>
      </w:r>
      <w:r w:rsidRPr="00EC1A30">
        <w:rPr>
          <w:i/>
        </w:rPr>
        <w:t>Legislative Instruments Act 2003</w:t>
      </w:r>
      <w:r w:rsidRPr="00EC1A30">
        <w:t xml:space="preserve"> is included at Appendix </w:t>
      </w:r>
      <w:r>
        <w:t>2</w:t>
      </w:r>
      <w:r w:rsidRPr="00EC1A30">
        <w:t>.</w:t>
      </w:r>
    </w:p>
  </w:footnote>
  <w:footnote w:id="5">
    <w:p w:rsidR="00CF1039" w:rsidRPr="00F0333A" w:rsidRDefault="00CF1039" w:rsidP="00CF1039">
      <w:pPr>
        <w:pStyle w:val="FootnoteText"/>
        <w:spacing w:after="120"/>
      </w:pPr>
      <w:r w:rsidRPr="00F0333A">
        <w:rPr>
          <w:rStyle w:val="FootnoteReference"/>
          <w:vertAlign w:val="baseline"/>
        </w:rPr>
        <w:footnoteRef/>
      </w:r>
      <w:r w:rsidRPr="00F0333A">
        <w:t xml:space="preserve"> </w:t>
      </w:r>
      <w:r>
        <w:tab/>
        <w:t>'Last day to disallow' refers to the last day on which notice may be given of a motion for disallowance in the Senate.</w:t>
      </w:r>
    </w:p>
  </w:footnote>
  <w:footnote w:id="6">
    <w:p w:rsidR="00CF1039" w:rsidRPr="00940F8E" w:rsidRDefault="00CF1039" w:rsidP="00CF1039">
      <w:pPr>
        <w:pStyle w:val="FootnoteText"/>
        <w:spacing w:after="120"/>
      </w:pPr>
      <w:r w:rsidRPr="00940F8E">
        <w:rPr>
          <w:rStyle w:val="FootnoteReference"/>
          <w:vertAlign w:val="baseline"/>
        </w:rPr>
        <w:footnoteRef/>
      </w:r>
      <w:r w:rsidRPr="00940F8E">
        <w:t xml:space="preserve"> </w:t>
      </w:r>
      <w:r>
        <w:tab/>
      </w:r>
      <w:r w:rsidRPr="00EC1A30">
        <w:t xml:space="preserve">The committee's guideline on addressing the consultation requirements of the </w:t>
      </w:r>
      <w:r w:rsidRPr="00EC1A30">
        <w:rPr>
          <w:i/>
        </w:rPr>
        <w:t>Legislative Instruments Act 2003</w:t>
      </w:r>
      <w:r w:rsidRPr="00EC1A30">
        <w:t xml:space="preserve"> is included at Appendix </w:t>
      </w:r>
      <w:r>
        <w:t>2</w:t>
      </w:r>
      <w:r w:rsidRPr="00EC1A30">
        <w:t>.</w:t>
      </w:r>
    </w:p>
  </w:footnote>
  <w:footnote w:id="7">
    <w:p w:rsidR="000F073E" w:rsidRPr="00654C33" w:rsidRDefault="000F073E" w:rsidP="000F073E">
      <w:pPr>
        <w:pStyle w:val="FootnoteText"/>
        <w:spacing w:after="120"/>
      </w:pPr>
      <w:r w:rsidRPr="00654C33">
        <w:rPr>
          <w:rStyle w:val="FootnoteReference"/>
          <w:vertAlign w:val="baseline"/>
        </w:rPr>
        <w:footnoteRef/>
      </w:r>
      <w:r w:rsidRPr="00654C33">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Heade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6606C0">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161</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Default="006606C0">
    <w:pPr>
      <w:pStyle w:val="Header"/>
      <w:tabs>
        <w:tab w:val="clear" w:pos="8306"/>
        <w:tab w:val="right" w:pos="9000"/>
      </w:tabs>
    </w:pPr>
    <w:r>
      <w:tab/>
    </w:r>
    <w:r>
      <w:t>159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6606C0">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6606C0">
      <w:fldChar w:fldCharType="begin"/>
    </w:r>
    <w:r w:rsidR="006606C0">
      <w:instrText xml:space="preserve"> PAGE </w:instrText>
    </w:r>
    <w:r w:rsidR="006606C0">
      <w:fldChar w:fldCharType="separate"/>
    </w:r>
    <w:r w:rsidR="006606C0">
      <w:rPr>
        <w:noProof/>
      </w:rPr>
      <w:t>169</w:t>
    </w:r>
    <w:r w:rsidR="006606C0">
      <w:rPr>
        <w:noProof/>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6606C0">
      <w:t>16</w:t>
    </w:r>
    <w:r w:rsidR="006606C0">
      <w:t>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6C0" w:rsidRPr="00F710D5" w:rsidRDefault="006606C0" w:rsidP="006606C0">
    <w:pPr>
      <w:pStyle w:val="Header"/>
      <w:tabs>
        <w:tab w:val="clear" w:pos="8306"/>
        <w:tab w:val="right" w:pos="9000"/>
      </w:tabs>
    </w:pPr>
    <w: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6C0" w:rsidRDefault="006606C0" w:rsidP="006606C0">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rsidP="002577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808615"/>
      <w:docPartObj>
        <w:docPartGallery w:val="Page Numbers (Top of Page)"/>
        <w:docPartUnique/>
      </w:docPartObj>
    </w:sdtPr>
    <w:sdtEndPr>
      <w:rPr>
        <w:noProof/>
      </w:rPr>
    </w:sdtEndPr>
    <w:sdtContent>
      <w:p w:rsidR="00CF1039" w:rsidRDefault="00CF1039" w:rsidP="0025778E">
        <w:pPr>
          <w:pStyle w:val="Header"/>
          <w:pBdr>
            <w:bottom w:val="single" w:sz="4" w:space="1" w:color="auto"/>
          </w:pBdr>
        </w:pPr>
        <w:r>
          <w:fldChar w:fldCharType="begin"/>
        </w:r>
        <w:r>
          <w:instrText xml:space="preserve"> PAGE   \* MERGEFORMAT </w:instrText>
        </w:r>
        <w:r>
          <w:fldChar w:fldCharType="separate"/>
        </w:r>
        <w:r w:rsidR="006606C0">
          <w:rPr>
            <w:noProof/>
          </w:rPr>
          <w:t>150</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33903"/>
      <w:docPartObj>
        <w:docPartGallery w:val="Page Numbers (Top of Page)"/>
        <w:docPartUnique/>
      </w:docPartObj>
    </w:sdtPr>
    <w:sdtEndPr>
      <w:rPr>
        <w:noProof/>
      </w:rPr>
    </w:sdtEndPr>
    <w:sdtContent>
      <w:p w:rsidR="00CF1039" w:rsidRDefault="00CF1039" w:rsidP="007576B7">
        <w:pPr>
          <w:pStyle w:val="Header"/>
          <w:pBdr>
            <w:bottom w:val="single" w:sz="4" w:space="1" w:color="auto"/>
          </w:pBdr>
          <w:jc w:val="right"/>
        </w:pPr>
        <w:r>
          <w:fldChar w:fldCharType="begin"/>
        </w:r>
        <w:r>
          <w:instrText xml:space="preserve"> PAGE   \* MERGEFORMAT </w:instrText>
        </w:r>
        <w:r>
          <w:fldChar w:fldCharType="separate"/>
        </w:r>
        <w:r w:rsidR="006606C0">
          <w:rPr>
            <w:noProof/>
          </w:rPr>
          <w:t>149</w:t>
        </w:r>
        <w:r>
          <w:rPr>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094605"/>
      <w:docPartObj>
        <w:docPartGallery w:val="Page Numbers (Top of Page)"/>
        <w:docPartUnique/>
      </w:docPartObj>
    </w:sdtPr>
    <w:sdtEndPr>
      <w:rPr>
        <w:noProof/>
      </w:rPr>
    </w:sdtEndPr>
    <w:sdtContent>
      <w:p w:rsidR="00CF1039" w:rsidRDefault="00CF1039">
        <w:pPr>
          <w:pStyle w:val="Header"/>
          <w:jc w:val="right"/>
        </w:pPr>
        <w:r>
          <w:fldChar w:fldCharType="begin"/>
        </w:r>
        <w:r>
          <w:instrText xml:space="preserve"> PAGE   \* MERGEFORMAT </w:instrText>
        </w:r>
        <w:r>
          <w:fldChar w:fldCharType="separate"/>
        </w:r>
        <w:r w:rsidR="006606C0">
          <w:rPr>
            <w:noProof/>
          </w:rPr>
          <w:t>139</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Pr="00F710D5" w:rsidRDefault="00CF1039">
    <w:pPr>
      <w:pStyle w:val="Header"/>
      <w:pBdr>
        <w:bottom w:val="single" w:sz="4" w:space="1" w:color="auto"/>
      </w:pBdr>
      <w:tabs>
        <w:tab w:val="clear" w:pos="8306"/>
        <w:tab w:val="right" w:pos="9000"/>
      </w:tabs>
    </w:pPr>
    <w:r>
      <w:fldChar w:fldCharType="begin"/>
    </w:r>
    <w:r>
      <w:instrText xml:space="preserve"> PAGE </w:instrText>
    </w:r>
    <w:r>
      <w:fldChar w:fldCharType="separate"/>
    </w:r>
    <w:r w:rsidR="006606C0">
      <w:rPr>
        <w:noProof/>
      </w:rPr>
      <w:t>158</w:t>
    </w:r>
    <w:r>
      <w:rPr>
        <w:noProof/>
      </w:rPr>
      <w:fldChar w:fldCharType="end"/>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sidR="006606C0">
      <w:rPr>
        <w:noProof/>
      </w:rPr>
      <w:t>157</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039" w:rsidRDefault="00CF1039">
    <w:pPr>
      <w:pStyle w:val="Header"/>
      <w:tabs>
        <w:tab w:val="clear" w:pos="8306"/>
        <w:tab w:val="right" w:pos="9000"/>
      </w:tabs>
    </w:pPr>
    <w:r>
      <w:tab/>
      <w:t>151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5F4" w:rsidRPr="00F710D5" w:rsidRDefault="006606C0">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160</w:t>
    </w:r>
    <w:r>
      <w:rPr>
        <w:noProof/>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1E283EB6"/>
    <w:lvl w:ilvl="0">
      <w:start w:val="1"/>
      <w:numFmt w:val="decimal"/>
      <w:lvlText w:val="1.%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84DC78A0"/>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7"/>
  </w:num>
  <w:num w:numId="29">
    <w:abstractNumId w:val="27"/>
  </w:num>
  <w:num w:numId="30">
    <w:abstractNumId w:val="27"/>
  </w:num>
  <w:num w:numId="31">
    <w:abstractNumId w:val="24"/>
  </w:num>
  <w:num w:numId="32">
    <w:abstractNumId w:val="24"/>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33"/>
    <w:rsid w:val="00031176"/>
    <w:rsid w:val="000A00BB"/>
    <w:rsid w:val="000B484C"/>
    <w:rsid w:val="000D56E8"/>
    <w:rsid w:val="000F073E"/>
    <w:rsid w:val="001428C3"/>
    <w:rsid w:val="0018124A"/>
    <w:rsid w:val="00194588"/>
    <w:rsid w:val="0025778E"/>
    <w:rsid w:val="00296ADC"/>
    <w:rsid w:val="00312055"/>
    <w:rsid w:val="003168FA"/>
    <w:rsid w:val="00325264"/>
    <w:rsid w:val="00333EC9"/>
    <w:rsid w:val="00350769"/>
    <w:rsid w:val="003E0C8F"/>
    <w:rsid w:val="00401F51"/>
    <w:rsid w:val="00420018"/>
    <w:rsid w:val="0044126A"/>
    <w:rsid w:val="00501FBB"/>
    <w:rsid w:val="00520991"/>
    <w:rsid w:val="0053695B"/>
    <w:rsid w:val="0056550E"/>
    <w:rsid w:val="005B3BA3"/>
    <w:rsid w:val="005D07D1"/>
    <w:rsid w:val="005E77C4"/>
    <w:rsid w:val="006007DB"/>
    <w:rsid w:val="006248BA"/>
    <w:rsid w:val="00636559"/>
    <w:rsid w:val="00640A68"/>
    <w:rsid w:val="00651B5E"/>
    <w:rsid w:val="006606C0"/>
    <w:rsid w:val="006958CB"/>
    <w:rsid w:val="006D545C"/>
    <w:rsid w:val="007007A9"/>
    <w:rsid w:val="00710736"/>
    <w:rsid w:val="00713133"/>
    <w:rsid w:val="00744BD7"/>
    <w:rsid w:val="00750F05"/>
    <w:rsid w:val="007576B7"/>
    <w:rsid w:val="0078200D"/>
    <w:rsid w:val="00792C72"/>
    <w:rsid w:val="007C4CE2"/>
    <w:rsid w:val="007E3921"/>
    <w:rsid w:val="007F5E17"/>
    <w:rsid w:val="008326C3"/>
    <w:rsid w:val="00837D9C"/>
    <w:rsid w:val="00854AE4"/>
    <w:rsid w:val="008A1C03"/>
    <w:rsid w:val="00931095"/>
    <w:rsid w:val="009A5729"/>
    <w:rsid w:val="00A31357"/>
    <w:rsid w:val="00A67233"/>
    <w:rsid w:val="00A6738A"/>
    <w:rsid w:val="00A87FCF"/>
    <w:rsid w:val="00AA0AC5"/>
    <w:rsid w:val="00AC1950"/>
    <w:rsid w:val="00AC5B67"/>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A3499"/>
    <w:rsid w:val="00CB2C79"/>
    <w:rsid w:val="00CC3A7E"/>
    <w:rsid w:val="00CF1039"/>
    <w:rsid w:val="00D35325"/>
    <w:rsid w:val="00D4535E"/>
    <w:rsid w:val="00DA1837"/>
    <w:rsid w:val="00DE1781"/>
    <w:rsid w:val="00E0235E"/>
    <w:rsid w:val="00E46EE5"/>
    <w:rsid w:val="00EB5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233"/>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25778E"/>
    <w:pPr>
      <w:keepNext/>
      <w:numPr>
        <w:ilvl w:val="3"/>
        <w:numId w:val="32"/>
      </w:numPr>
      <w:outlineLvl w:val="3"/>
    </w:pPr>
    <w:rPr>
      <w:b/>
      <w:i/>
    </w:rPr>
  </w:style>
  <w:style w:type="paragraph" w:styleId="Heading5">
    <w:name w:val="heading 5"/>
    <w:basedOn w:val="Normal"/>
    <w:next w:val="Normal"/>
    <w:qFormat/>
    <w:rsid w:val="0025778E"/>
    <w:pPr>
      <w:keepNext/>
      <w:numPr>
        <w:ilvl w:val="4"/>
        <w:numId w:val="32"/>
      </w:numPr>
      <w:jc w:val="left"/>
      <w:outlineLvl w:val="4"/>
    </w:pPr>
    <w:rPr>
      <w:i/>
    </w:rPr>
  </w:style>
  <w:style w:type="paragraph" w:styleId="Heading6">
    <w:name w:val="heading 6"/>
    <w:basedOn w:val="Normal"/>
    <w:next w:val="Normal"/>
    <w:qFormat/>
    <w:locked/>
    <w:rsid w:val="0025778E"/>
    <w:pPr>
      <w:numPr>
        <w:ilvl w:val="5"/>
        <w:numId w:val="32"/>
      </w:numPr>
      <w:spacing w:before="240" w:after="60"/>
      <w:outlineLvl w:val="5"/>
    </w:pPr>
    <w:rPr>
      <w:i/>
      <w:sz w:val="22"/>
    </w:rPr>
  </w:style>
  <w:style w:type="paragraph" w:styleId="Heading7">
    <w:name w:val="heading 7"/>
    <w:basedOn w:val="Normal"/>
    <w:next w:val="Normal"/>
    <w:qFormat/>
    <w:locked/>
    <w:rsid w:val="0025778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5778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5778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5778E"/>
    <w:pPr>
      <w:numPr>
        <w:numId w:val="32"/>
      </w:numPr>
    </w:pPr>
  </w:style>
  <w:style w:type="paragraph" w:customStyle="1" w:styleId="Level2">
    <w:name w:val="Level2"/>
    <w:basedOn w:val="Normal"/>
    <w:rsid w:val="0025778E"/>
    <w:pPr>
      <w:numPr>
        <w:ilvl w:val="1"/>
        <w:numId w:val="32"/>
      </w:numPr>
    </w:pPr>
  </w:style>
  <w:style w:type="paragraph" w:customStyle="1" w:styleId="Level3">
    <w:name w:val="Level3"/>
    <w:basedOn w:val="Normal"/>
    <w:link w:val="Level3Char"/>
    <w:rsid w:val="0025778E"/>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5778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A67233"/>
    <w:rPr>
      <w:rFonts w:ascii="Times New Roman" w:hAnsi="Times New Roman"/>
      <w:sz w:val="22"/>
      <w:lang w:eastAsia="en-US"/>
    </w:rPr>
  </w:style>
  <w:style w:type="paragraph" w:customStyle="1" w:styleId="JNP2">
    <w:name w:val="JNP2"/>
    <w:basedOn w:val="Normal"/>
    <w:rsid w:val="00A67233"/>
    <w:pPr>
      <w:spacing w:after="0"/>
      <w:ind w:left="2268"/>
    </w:pPr>
    <w:rPr>
      <w:lang w:val="en-US"/>
    </w:rPr>
  </w:style>
  <w:style w:type="paragraph" w:customStyle="1" w:styleId="letterheadbody">
    <w:name w:val="letterhead body"/>
    <w:basedOn w:val="Normal"/>
    <w:rsid w:val="00CA3499"/>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CA3499"/>
    <w:rPr>
      <w:sz w:val="22"/>
      <w:lang w:eastAsia="en-US"/>
    </w:rPr>
  </w:style>
  <w:style w:type="character" w:customStyle="1" w:styleId="HeaderChar">
    <w:name w:val="Header Char"/>
    <w:basedOn w:val="DefaultParagraphFont"/>
    <w:link w:val="Header"/>
    <w:uiPriority w:val="99"/>
    <w:rsid w:val="0025778E"/>
    <w:rPr>
      <w:rFonts w:ascii="Times New Roman" w:hAnsi="Times New Roma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233"/>
    <w:pPr>
      <w:spacing w:after="240"/>
      <w:jc w:val="both"/>
    </w:pPr>
    <w:rPr>
      <w:rFonts w:ascii="Times New Roman" w:hAnsi="Times New Roman"/>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25778E"/>
    <w:pPr>
      <w:keepNext/>
      <w:numPr>
        <w:ilvl w:val="3"/>
        <w:numId w:val="32"/>
      </w:numPr>
      <w:outlineLvl w:val="3"/>
    </w:pPr>
    <w:rPr>
      <w:b/>
      <w:i/>
    </w:rPr>
  </w:style>
  <w:style w:type="paragraph" w:styleId="Heading5">
    <w:name w:val="heading 5"/>
    <w:basedOn w:val="Normal"/>
    <w:next w:val="Normal"/>
    <w:qFormat/>
    <w:rsid w:val="0025778E"/>
    <w:pPr>
      <w:keepNext/>
      <w:numPr>
        <w:ilvl w:val="4"/>
        <w:numId w:val="32"/>
      </w:numPr>
      <w:jc w:val="left"/>
      <w:outlineLvl w:val="4"/>
    </w:pPr>
    <w:rPr>
      <w:i/>
    </w:rPr>
  </w:style>
  <w:style w:type="paragraph" w:styleId="Heading6">
    <w:name w:val="heading 6"/>
    <w:basedOn w:val="Normal"/>
    <w:next w:val="Normal"/>
    <w:qFormat/>
    <w:locked/>
    <w:rsid w:val="0025778E"/>
    <w:pPr>
      <w:numPr>
        <w:ilvl w:val="5"/>
        <w:numId w:val="32"/>
      </w:numPr>
      <w:spacing w:before="240" w:after="60"/>
      <w:outlineLvl w:val="5"/>
    </w:pPr>
    <w:rPr>
      <w:i/>
      <w:sz w:val="22"/>
    </w:rPr>
  </w:style>
  <w:style w:type="paragraph" w:styleId="Heading7">
    <w:name w:val="heading 7"/>
    <w:basedOn w:val="Normal"/>
    <w:next w:val="Normal"/>
    <w:qFormat/>
    <w:locked/>
    <w:rsid w:val="0025778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25778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25778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25778E"/>
    <w:pPr>
      <w:numPr>
        <w:numId w:val="32"/>
      </w:numPr>
    </w:pPr>
  </w:style>
  <w:style w:type="paragraph" w:customStyle="1" w:styleId="Level2">
    <w:name w:val="Level2"/>
    <w:basedOn w:val="Normal"/>
    <w:rsid w:val="0025778E"/>
    <w:pPr>
      <w:numPr>
        <w:ilvl w:val="1"/>
        <w:numId w:val="32"/>
      </w:numPr>
    </w:pPr>
  </w:style>
  <w:style w:type="paragraph" w:customStyle="1" w:styleId="Level3">
    <w:name w:val="Level3"/>
    <w:basedOn w:val="Normal"/>
    <w:link w:val="Level3Char"/>
    <w:rsid w:val="0025778E"/>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25778E"/>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uiPriority w:val="99"/>
    <w:rsid w:val="00A67233"/>
    <w:rPr>
      <w:rFonts w:ascii="Times New Roman" w:hAnsi="Times New Roman"/>
      <w:sz w:val="22"/>
      <w:lang w:eastAsia="en-US"/>
    </w:rPr>
  </w:style>
  <w:style w:type="paragraph" w:customStyle="1" w:styleId="JNP2">
    <w:name w:val="JNP2"/>
    <w:basedOn w:val="Normal"/>
    <w:rsid w:val="00A67233"/>
    <w:pPr>
      <w:spacing w:after="0"/>
      <w:ind w:left="2268"/>
    </w:pPr>
    <w:rPr>
      <w:lang w:val="en-US"/>
    </w:rPr>
  </w:style>
  <w:style w:type="paragraph" w:customStyle="1" w:styleId="letterheadbody">
    <w:name w:val="letterhead body"/>
    <w:basedOn w:val="Normal"/>
    <w:rsid w:val="00CA3499"/>
    <w:pPr>
      <w:tabs>
        <w:tab w:val="left" w:pos="851"/>
      </w:tabs>
      <w:spacing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CA3499"/>
    <w:rPr>
      <w:sz w:val="22"/>
      <w:lang w:eastAsia="en-US"/>
    </w:rPr>
  </w:style>
  <w:style w:type="character" w:customStyle="1" w:styleId="HeaderChar">
    <w:name w:val="Header Char"/>
    <w:basedOn w:val="DefaultParagraphFont"/>
    <w:link w:val="Header"/>
    <w:uiPriority w:val="99"/>
    <w:rsid w:val="0025778E"/>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9.xml"/><Relationship Id="rId39" Type="http://schemas.openxmlformats.org/officeDocument/2006/relationships/hyperlink" Target="mailto:RegOrds.Sen@aph.gov.au" TargetMode="Externa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image" Target="media/image1.png"/><Relationship Id="rId42"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yperlink" Target="http://www.aph.gov.au/Parliamentary_Business/Committees/Senate_Committees?url=regord_ctte/index.ht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yperlink" Target="http://www.aph.gov.au/Parliamentary_Business/Committees/Senate_Committees?url=regord_ctte/alert2012.htm" TargetMode="Externa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yperlink" Target="http://www.comlaw.gov.au/Details/C2012C00041" TargetMode="Externa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yperlink" Target="http://www.aph.gov.au/Parliamentary_Business/Committees/Senate_Committees?url=regord_ctte/guidelines.htm"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77</TotalTime>
  <Pages>42</Pages>
  <Words>10980</Words>
  <Characters>65085</Characters>
  <Application>Microsoft Office Word</Application>
  <DocSecurity>0</DocSecurity>
  <Lines>542</Lines>
  <Paragraphs>151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Janice Paull</cp:lastModifiedBy>
  <cp:revision>6</cp:revision>
  <dcterms:created xsi:type="dcterms:W3CDTF">2013-05-07T00:45:00Z</dcterms:created>
  <dcterms:modified xsi:type="dcterms:W3CDTF">2013-05-07T02:16:00Z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