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4E5C2A" w:rsidP="00805F77">
      <w:pPr>
        <w:pStyle w:val="Date-SNews"/>
        <w:rPr>
          <w:i/>
          <w:iCs/>
          <w:sz w:val="22"/>
          <w:lang w:val="en-GB"/>
        </w:rPr>
      </w:pPr>
      <w:r>
        <w:rPr>
          <w:lang w:val="en-GB"/>
        </w:rPr>
        <w:t>1</w:t>
      </w:r>
      <w:r w:rsidR="004C30AE">
        <w:rPr>
          <w:lang w:val="en-GB"/>
        </w:rPr>
        <w:t>4</w:t>
      </w:r>
      <w:r>
        <w:rPr>
          <w:lang w:val="en-GB"/>
        </w:rPr>
        <w:t xml:space="preserve"> November</w:t>
      </w:r>
      <w:r w:rsidR="00BE7EA5" w:rsidRPr="00DF7565">
        <w:rPr>
          <w:lang w:val="en-GB"/>
        </w:rPr>
        <w:t xml:space="preserve"> 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835A9C">
          <w:rPr>
            <w:rStyle w:val="Hyperlink"/>
            <w:i/>
            <w:iCs/>
            <w:sz w:val="20"/>
            <w:szCs w:val="20"/>
            <w:lang w:val="en-GB"/>
          </w:rPr>
          <w:t>Scrutiny Digest</w:t>
        </w:r>
        <w:r w:rsidRPr="00835A9C">
          <w:rPr>
            <w:rStyle w:val="Hyperlink"/>
            <w:i/>
            <w:iCs/>
            <w:sz w:val="20"/>
            <w:szCs w:val="20"/>
            <w:lang w:val="en-GB"/>
          </w:rPr>
          <w:t xml:space="preserve"> </w:t>
        </w:r>
        <w:r w:rsidR="004E5C2A" w:rsidRPr="00835A9C">
          <w:rPr>
            <w:rStyle w:val="Hyperlink"/>
            <w:i/>
            <w:iCs/>
            <w:sz w:val="20"/>
            <w:szCs w:val="20"/>
            <w:lang w:val="en-GB"/>
          </w:rPr>
          <w:t>8</w:t>
        </w:r>
        <w:r w:rsidRPr="00835A9C">
          <w:rPr>
            <w:rStyle w:val="Hyperlink"/>
            <w:i/>
            <w:iCs/>
            <w:sz w:val="20"/>
            <w:szCs w:val="20"/>
            <w:lang w:val="en-GB"/>
          </w:rPr>
          <w:t xml:space="preserve"> of 201</w:t>
        </w:r>
        <w:r w:rsidR="00622C24" w:rsidRPr="00835A9C">
          <w:rPr>
            <w:rStyle w:val="Hyperlink"/>
            <w:i/>
            <w:iCs/>
            <w:sz w:val="20"/>
            <w:szCs w:val="20"/>
            <w:lang w:val="en-GB"/>
          </w:rPr>
          <w:t>9</w:t>
        </w:r>
      </w:hyperlink>
      <w:r w:rsidRPr="00A56273">
        <w:rPr>
          <w:sz w:val="20"/>
          <w:szCs w:val="20"/>
          <w:lang w:val="en-GB"/>
        </w:rPr>
        <w:t>)</w:t>
      </w:r>
    </w:p>
    <w:p w:rsidR="00EB15FF" w:rsidRPr="00B23221" w:rsidRDefault="00EB15FF" w:rsidP="00EB15FF">
      <w:pPr>
        <w:pStyle w:val="Heading2"/>
        <w:spacing w:before="120"/>
        <w:rPr>
          <w:i/>
          <w:iCs/>
          <w:szCs w:val="32"/>
          <w:lang w:val="en-GB"/>
        </w:rPr>
      </w:pPr>
      <w:r w:rsidRPr="00DB7354">
        <w:t>Medical and Midwife Indemnity Legislation Amendment Bill 2019</w:t>
      </w:r>
    </w:p>
    <w:p w:rsidR="00EB15FF" w:rsidRDefault="00EB15FF" w:rsidP="00EB15FF">
      <w:pPr>
        <w:pStyle w:val="ListParagraph"/>
      </w:pPr>
      <w:r>
        <w:rPr>
          <w:i/>
          <w:u w:val="single"/>
        </w:rPr>
        <w:t>Computerised decision-making</w:t>
      </w:r>
      <w:r w:rsidRPr="00EB15FF">
        <w:t>: the committee is seeking further advice about amending the bill to limit the types of decisions that can be made by computers</w:t>
      </w:r>
      <w:r w:rsidRPr="00E0218B">
        <w:t>.</w:t>
      </w:r>
    </w:p>
    <w:p w:rsidR="00EB15FF" w:rsidRDefault="00EB15FF" w:rsidP="00EB15FF">
      <w:pPr>
        <w:pStyle w:val="ListParagraph"/>
      </w:pPr>
      <w:r>
        <w:rPr>
          <w:i/>
          <w:u w:val="single"/>
        </w:rPr>
        <w:t>Broad delegation of legislative power</w:t>
      </w:r>
      <w:r w:rsidRPr="00EB15FF">
        <w:t>: the committee</w:t>
      </w:r>
      <w:r>
        <w:t xml:space="preserve"> leaves to the Senate the appropriateness of allowing regulations to modify the operation of the primary legislation.</w:t>
      </w:r>
    </w:p>
    <w:p w:rsidR="00BE7EA5" w:rsidRPr="00B23221" w:rsidRDefault="00AF6E40" w:rsidP="00016603">
      <w:pPr>
        <w:pStyle w:val="Heading2"/>
        <w:spacing w:before="120"/>
        <w:rPr>
          <w:i/>
          <w:iCs/>
          <w:szCs w:val="32"/>
          <w:lang w:val="en-GB"/>
        </w:rPr>
      </w:pPr>
      <w:r>
        <w:t xml:space="preserve">Australian Citizenship Amendment (Citizenship Cessation) </w:t>
      </w:r>
      <w:r w:rsidR="00BE7EA5">
        <w:t xml:space="preserve">Bill </w:t>
      </w:r>
      <w:r w:rsidR="00622C24">
        <w:t>2019</w:t>
      </w:r>
      <w:r w:rsidR="00BE7EA5">
        <w:t xml:space="preserve"> </w:t>
      </w:r>
    </w:p>
    <w:p w:rsidR="00BE7EA5" w:rsidRDefault="00E0218B" w:rsidP="00E0218B">
      <w:pPr>
        <w:pStyle w:val="ListParagraph"/>
      </w:pPr>
      <w:r>
        <w:rPr>
          <w:i/>
          <w:u w:val="single"/>
        </w:rPr>
        <w:t>Broad discretionary powers and trespass on personal rights and liberties</w:t>
      </w:r>
      <w:r w:rsidR="00BE7EA5" w:rsidRPr="00EB15FF">
        <w:t xml:space="preserve">: </w:t>
      </w:r>
      <w:r w:rsidR="00BE7EA5">
        <w:t xml:space="preserve">the </w:t>
      </w:r>
      <w:r w:rsidR="00BE7EA5" w:rsidRPr="00805F77">
        <w:t>committee</w:t>
      </w:r>
      <w:r w:rsidR="00BE7EA5">
        <w:t xml:space="preserve"> </w:t>
      </w:r>
      <w:r>
        <w:t xml:space="preserve">leaves to the Senate the appropriateness of </w:t>
      </w:r>
      <w:r w:rsidRPr="00E0218B">
        <w:t>expanding the minister's discretionary powers to determine that a person ceases to be an Australian citizen.</w:t>
      </w:r>
    </w:p>
    <w:p w:rsidR="00BA1D33" w:rsidRDefault="00BA1D33" w:rsidP="00E0218B">
      <w:pPr>
        <w:pStyle w:val="ListParagraph"/>
      </w:pPr>
      <w:r>
        <w:rPr>
          <w:i/>
          <w:u w:val="single"/>
        </w:rPr>
        <w:t>Merits review</w:t>
      </w:r>
      <w:r w:rsidRPr="00EB15FF">
        <w:t xml:space="preserve">: </w:t>
      </w:r>
      <w:r>
        <w:t xml:space="preserve">the committee leaves to the Senate the appropriateness of not making decisions under the bill subject to independent merits review. </w:t>
      </w:r>
    </w:p>
    <w:p w:rsidR="00BA1D33" w:rsidRDefault="00BA1D33" w:rsidP="00E0218B">
      <w:pPr>
        <w:pStyle w:val="ListParagraph"/>
      </w:pPr>
      <w:r>
        <w:rPr>
          <w:i/>
          <w:u w:val="single"/>
        </w:rPr>
        <w:t>Significant matters in delegated legislation</w:t>
      </w:r>
      <w:r w:rsidRPr="00EB15FF">
        <w:t xml:space="preserve">: </w:t>
      </w:r>
      <w:r>
        <w:t>the committee leaves to the Senate the appropriateness of leaving the declaration of a terrorist organisation to delegated legislation.</w:t>
      </w:r>
    </w:p>
    <w:p w:rsidR="00BA1D33" w:rsidRDefault="00BA1D33" w:rsidP="00E0218B">
      <w:pPr>
        <w:pStyle w:val="ListParagraph"/>
      </w:pPr>
      <w:r>
        <w:rPr>
          <w:i/>
          <w:u w:val="single"/>
        </w:rPr>
        <w:t>Procedural fairness</w:t>
      </w:r>
      <w:r w:rsidRPr="00EB15FF">
        <w:t xml:space="preserve">: </w:t>
      </w:r>
      <w:r>
        <w:t>the committee leaves to the Senate the appropriateness of not requiring the minister to provide natural justice when making a determination to cease a person's citizenship.</w:t>
      </w:r>
    </w:p>
    <w:p w:rsidR="00BA1D33" w:rsidRDefault="00BA1D33" w:rsidP="00E0218B">
      <w:pPr>
        <w:pStyle w:val="ListParagraph"/>
      </w:pPr>
      <w:r>
        <w:rPr>
          <w:i/>
          <w:u w:val="single"/>
        </w:rPr>
        <w:t>Judicial review</w:t>
      </w:r>
      <w:r w:rsidRPr="00EB15FF">
        <w:t xml:space="preserve">: </w:t>
      </w:r>
      <w:r>
        <w:t>the committee leaves to the Senate the adequacy of judicial oversight of factual determinations upon which cessation of citizenship decisions are made.</w:t>
      </w:r>
    </w:p>
    <w:p w:rsidR="00BA1D33" w:rsidRPr="00FE00B0" w:rsidRDefault="00BA1D33" w:rsidP="00BA1D33">
      <w:pPr>
        <w:pStyle w:val="ListParagraph"/>
      </w:pPr>
      <w:r>
        <w:rPr>
          <w:i/>
          <w:u w:val="single"/>
        </w:rPr>
        <w:lastRenderedPageBreak/>
        <w:t>Retrospective application</w:t>
      </w:r>
      <w:r w:rsidRPr="00EB15FF">
        <w:t>:</w:t>
      </w:r>
      <w:r>
        <w:t xml:space="preserve"> the committee leaves to the Senate the appropriateness </w:t>
      </w:r>
      <w:r w:rsidRPr="00BA1D33">
        <w:t>of allowing the power to remove citizenship to be enlivened based on conduct engaged in or convictions made up to 16 years ago.</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0A465F">
          <w:rPr>
            <w:rStyle w:val="Hyperlink"/>
            <w:i/>
            <w:sz w:val="20"/>
            <w:szCs w:val="20"/>
          </w:rPr>
          <w:t>Delegated</w:t>
        </w:r>
        <w:r w:rsidR="00B7262B" w:rsidRPr="000A465F">
          <w:rPr>
            <w:rStyle w:val="Hyperlink"/>
            <w:i/>
            <w:sz w:val="20"/>
            <w:szCs w:val="20"/>
          </w:rPr>
          <w:t xml:space="preserve"> Legislation M</w:t>
        </w:r>
        <w:r w:rsidRPr="000A465F">
          <w:rPr>
            <w:rStyle w:val="Hyperlink"/>
            <w:i/>
            <w:sz w:val="20"/>
            <w:szCs w:val="20"/>
          </w:rPr>
          <w:t xml:space="preserve">onitor </w:t>
        </w:r>
        <w:r w:rsidR="004E5C2A" w:rsidRPr="000A465F">
          <w:rPr>
            <w:rStyle w:val="Hyperlink"/>
            <w:i/>
            <w:sz w:val="20"/>
            <w:szCs w:val="20"/>
          </w:rPr>
          <w:t>8</w:t>
        </w:r>
        <w:r w:rsidRPr="000A465F">
          <w:rPr>
            <w:rStyle w:val="Hyperlink"/>
            <w:i/>
            <w:sz w:val="20"/>
            <w:szCs w:val="20"/>
          </w:rPr>
          <w:t xml:space="preserve"> of 201</w:t>
        </w:r>
        <w:r w:rsidR="005D4867" w:rsidRPr="000A465F">
          <w:rPr>
            <w:rStyle w:val="Hyperlink"/>
            <w:i/>
            <w:sz w:val="20"/>
            <w:szCs w:val="20"/>
          </w:rPr>
          <w:t>9</w:t>
        </w:r>
      </w:hyperlink>
      <w:r w:rsidRPr="00D232B6">
        <w:rPr>
          <w:i/>
          <w:sz w:val="20"/>
          <w:szCs w:val="20"/>
        </w:rPr>
        <w:t>)</w:t>
      </w:r>
    </w:p>
    <w:p w:rsidR="00637874" w:rsidRPr="00B23221" w:rsidRDefault="00637874" w:rsidP="00637874">
      <w:pPr>
        <w:pStyle w:val="Heading2"/>
        <w:spacing w:before="120"/>
        <w:rPr>
          <w:i/>
          <w:iCs/>
          <w:sz w:val="32"/>
          <w:szCs w:val="32"/>
          <w:lang w:val="en-GB"/>
        </w:rPr>
      </w:pPr>
      <w:r w:rsidRPr="004E5C2A">
        <w:t>Quality of Care Amendment (Minimising Use of Restraints) Principles 2019</w:t>
      </w:r>
      <w:r>
        <w:t xml:space="preserve"> [</w:t>
      </w:r>
      <w:r w:rsidRPr="004E5C2A">
        <w:t>F2019L00511</w:t>
      </w:r>
      <w:r>
        <w:t xml:space="preserve">] </w:t>
      </w:r>
    </w:p>
    <w:p w:rsidR="00637874" w:rsidRPr="0005089A" w:rsidRDefault="00637874" w:rsidP="00637874">
      <w:pPr>
        <w:pStyle w:val="ListParagraph"/>
      </w:pPr>
      <w:r>
        <w:t>On Tuesday 12 November 2019, the Senate Regulations and Ordinances Committee held a</w:t>
      </w:r>
      <w:r w:rsidR="00193703">
        <w:t xml:space="preserve"> private briefing with the Minister for Aged Care and Senior Australians, Senator the Hon Richard </w:t>
      </w:r>
      <w:r>
        <w:t>Colbeck</w:t>
      </w:r>
      <w:r w:rsidR="00193703">
        <w:t>,</w:t>
      </w:r>
      <w:r>
        <w:t xml:space="preserve"> and senior officers from the Department of Health</w:t>
      </w:r>
      <w:r w:rsidR="00193703">
        <w:t>,</w:t>
      </w:r>
      <w:r>
        <w:t xml:space="preserve"> to discuss the committee' significant scrutiny concerns relating to the </w:t>
      </w:r>
      <w:r w:rsidRPr="0005089A">
        <w:t>Quality of Care Amendment (Minimising Use of Restraints) Principles 2019</w:t>
      </w:r>
      <w:r>
        <w:t>.</w:t>
      </w:r>
    </w:p>
    <w:p w:rsidR="00BE7EA5" w:rsidRPr="00B23221" w:rsidRDefault="004E5C2A" w:rsidP="00016603">
      <w:pPr>
        <w:pStyle w:val="Heading2"/>
        <w:spacing w:before="120"/>
        <w:rPr>
          <w:i/>
          <w:iCs/>
          <w:sz w:val="32"/>
          <w:szCs w:val="32"/>
          <w:lang w:val="en-GB"/>
        </w:rPr>
      </w:pPr>
      <w:r w:rsidRPr="004E5C2A">
        <w:t>Immigration (Guardianship of Children) Regulations 2018</w:t>
      </w:r>
      <w:r>
        <w:t xml:space="preserve"> [</w:t>
      </w:r>
      <w:r w:rsidRPr="004E5C2A">
        <w:t>F2018L01708</w:t>
      </w:r>
      <w:r>
        <w:t>]</w:t>
      </w:r>
      <w:r w:rsidR="00BE7EA5">
        <w:t xml:space="preserve"> </w:t>
      </w:r>
    </w:p>
    <w:p w:rsidR="00193703" w:rsidRDefault="0005089A" w:rsidP="0005089A">
      <w:pPr>
        <w:pStyle w:val="ListParagraph"/>
      </w:pPr>
      <w:r>
        <w:rPr>
          <w:i/>
          <w:u w:val="single"/>
        </w:rPr>
        <w:t>Significant matters in delegated legislation</w:t>
      </w:r>
      <w:r w:rsidRPr="00FE00B0">
        <w:t>:</w:t>
      </w:r>
      <w:r>
        <w:t xml:space="preserve"> the instrument </w:t>
      </w:r>
      <w:r w:rsidR="00193703">
        <w:t xml:space="preserve">addresses </w:t>
      </w:r>
      <w:r>
        <w:t xml:space="preserve">matters with the potential to affect the rights and liberties of non-citizen children. </w:t>
      </w:r>
      <w:r w:rsidR="00193703">
        <w:t xml:space="preserve"> Following extensive engagement with the committee, the minister has undertaken to conduct a review of th</w:t>
      </w:r>
      <w:r w:rsidR="00EB6942">
        <w:t>e instrument and the regulation</w:t>
      </w:r>
      <w:r w:rsidR="00193703">
        <w:t xml:space="preserve">-making powers in the </w:t>
      </w:r>
      <w:r w:rsidR="00193703">
        <w:rPr>
          <w:i/>
        </w:rPr>
        <w:t>Immigration (Guardianship of Children) Act 1946</w:t>
      </w:r>
      <w:r w:rsidR="00193703">
        <w:t>, focusing on the committee's scrutiny concerns. On this basis, the committee has resolved to withdraw the notice of motion to disallow the instrument.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835A9C">
          <w:rPr>
            <w:rStyle w:val="Hyperlink"/>
            <w:i/>
            <w:sz w:val="20"/>
            <w:szCs w:val="20"/>
          </w:rPr>
          <w:t>Scrutiny Di</w:t>
        </w:r>
        <w:r w:rsidR="00EF3BF2" w:rsidRPr="00835A9C">
          <w:rPr>
            <w:rStyle w:val="Hyperlink"/>
            <w:i/>
            <w:sz w:val="20"/>
            <w:szCs w:val="20"/>
          </w:rPr>
          <w:t>gest</w:t>
        </w:r>
        <w:r w:rsidRPr="00835A9C">
          <w:rPr>
            <w:rStyle w:val="Hyperlink"/>
            <w:i/>
            <w:sz w:val="20"/>
            <w:szCs w:val="20"/>
          </w:rPr>
          <w:t xml:space="preserve"> </w:t>
        </w:r>
        <w:r w:rsidR="004E5C2A" w:rsidRPr="00835A9C">
          <w:rPr>
            <w:rStyle w:val="Hyperlink"/>
            <w:i/>
            <w:sz w:val="20"/>
            <w:szCs w:val="20"/>
          </w:rPr>
          <w:t>8</w:t>
        </w:r>
        <w:r w:rsidRPr="00835A9C">
          <w:rPr>
            <w:rStyle w:val="Hyperlink"/>
            <w:i/>
            <w:sz w:val="20"/>
            <w:szCs w:val="20"/>
          </w:rPr>
          <w:t xml:space="preserve"> of 201</w:t>
        </w:r>
        <w:r w:rsidR="005D4867" w:rsidRPr="00835A9C">
          <w:rPr>
            <w:rStyle w:val="Hyperlink"/>
            <w:i/>
            <w:sz w:val="20"/>
            <w:szCs w:val="20"/>
          </w:rPr>
          <w:t>9</w:t>
        </w:r>
      </w:hyperlink>
      <w:r w:rsidRPr="00A56273">
        <w:rPr>
          <w:sz w:val="20"/>
          <w:szCs w:val="20"/>
        </w:rPr>
        <w:t>)</w:t>
      </w:r>
    </w:p>
    <w:p w:rsidR="007161B5" w:rsidRDefault="007161B5" w:rsidP="00016603">
      <w:pPr>
        <w:pStyle w:val="ListParagraph"/>
        <w:spacing w:before="0" w:after="60"/>
      </w:pPr>
      <w:r w:rsidRPr="00DB7354">
        <w:rPr>
          <w:b/>
        </w:rPr>
        <w:t>Aged Care Legislation Amendment (New Commissioner Functions) Bill 2019:</w:t>
      </w:r>
      <w:r>
        <w:t xml:space="preserve"> the committee is seeking advice regarding the safeguards in place fo</w:t>
      </w:r>
      <w:r w:rsidR="00A72AEC">
        <w:t>r the use of force by officers and broad delegations of investigatory and administrative powers.</w:t>
      </w:r>
    </w:p>
    <w:p w:rsidR="00A72AEC" w:rsidRDefault="00A72AEC" w:rsidP="00016603">
      <w:pPr>
        <w:pStyle w:val="ListParagraph"/>
        <w:spacing w:before="0" w:after="60"/>
      </w:pPr>
      <w:r w:rsidRPr="00DB7354">
        <w:rPr>
          <w:b/>
        </w:rPr>
        <w:t>Agricultural and Veterinary Chemicals Legislation Amendment (Australian Pesticides and Veterinary Medicines Authority Board and Other Improvements) Bill 2019:</w:t>
      </w:r>
      <w:r w:rsidR="00EB15FF">
        <w:t xml:space="preserve"> the committee is seeking further advice about amending the bill to limit the types of decisions that can be made by computers</w:t>
      </w:r>
      <w:r>
        <w:t>.</w:t>
      </w:r>
    </w:p>
    <w:p w:rsidR="00BE7EA5" w:rsidRPr="00805F77" w:rsidRDefault="006E7D04" w:rsidP="00016603">
      <w:pPr>
        <w:pStyle w:val="ListParagraph"/>
        <w:spacing w:before="0" w:after="60"/>
      </w:pPr>
      <w:r w:rsidRPr="00DB7354">
        <w:rPr>
          <w:b/>
        </w:rPr>
        <w:t xml:space="preserve">Anti-Money Laundering and Counter-Terrorism Financing and Other Legislation Amendment </w:t>
      </w:r>
      <w:r w:rsidR="00622C24" w:rsidRPr="00DB7354">
        <w:rPr>
          <w:b/>
        </w:rPr>
        <w:t>Bill 2019</w:t>
      </w:r>
      <w:r w:rsidR="00BE7EA5" w:rsidRPr="00DB7354">
        <w:rPr>
          <w:b/>
        </w:rPr>
        <w:t>:</w:t>
      </w:r>
      <w:r>
        <w:t xml:space="preserve"> the committee is seeking advice on the use of offence-specific defences that reverse the evidential burden of proof.</w:t>
      </w:r>
    </w:p>
    <w:p w:rsidR="00BE7EA5" w:rsidRDefault="006E7D04" w:rsidP="00016603">
      <w:pPr>
        <w:pStyle w:val="ListParagraph"/>
        <w:spacing w:before="0" w:after="60"/>
      </w:pPr>
      <w:r w:rsidRPr="00DB7354">
        <w:rPr>
          <w:b/>
        </w:rPr>
        <w:t xml:space="preserve">Australian Sports Anti-Doping Authority Amendment (Enhancing Australia's Anti-Doping Capability) </w:t>
      </w:r>
      <w:r w:rsidR="00622C24" w:rsidRPr="00DB7354">
        <w:rPr>
          <w:b/>
        </w:rPr>
        <w:t>Bill 2019</w:t>
      </w:r>
      <w:r w:rsidR="00BE7EA5" w:rsidRPr="00DB7354">
        <w:rPr>
          <w:b/>
        </w:rPr>
        <w:t>:</w:t>
      </w:r>
      <w:r>
        <w:t xml:space="preserve"> the committee is seeking advice </w:t>
      </w:r>
      <w:r w:rsidR="0057466B">
        <w:t>regarding lowering the threshold for the giving of disclosure notices</w:t>
      </w:r>
      <w:r>
        <w:t>.</w:t>
      </w:r>
    </w:p>
    <w:p w:rsidR="00A72AEC" w:rsidRPr="00805F77" w:rsidRDefault="00A72AEC" w:rsidP="00016603">
      <w:pPr>
        <w:pStyle w:val="ListParagraph"/>
        <w:spacing w:before="0" w:after="60"/>
      </w:pPr>
      <w:r w:rsidRPr="0092705C">
        <w:rPr>
          <w:b/>
        </w:rPr>
        <w:t>Australian Sports Anti-Doping Authority Amendment (Sports Integrity Australia) Bill 2019</w:t>
      </w:r>
      <w:r>
        <w:t>: the committ</w:t>
      </w:r>
      <w:r w:rsidR="0092705C">
        <w:t xml:space="preserve">ee is seeking advice regarding </w:t>
      </w:r>
      <w:r>
        <w:t xml:space="preserve">immunity from civil liability and the appropriateness of making Sports Integrity Australia an enforcement body for the purposes of the </w:t>
      </w:r>
      <w:r w:rsidRPr="00A72AEC">
        <w:rPr>
          <w:i/>
        </w:rPr>
        <w:t>Privacy Act 1988</w:t>
      </w:r>
      <w:r>
        <w:t>.</w:t>
      </w:r>
    </w:p>
    <w:p w:rsidR="00BE7EA5" w:rsidRPr="00A72AEC" w:rsidRDefault="006E7D04" w:rsidP="00016603">
      <w:pPr>
        <w:pStyle w:val="ListParagraph"/>
        <w:spacing w:before="0" w:after="60"/>
        <w:rPr>
          <w:bCs/>
        </w:rPr>
      </w:pPr>
      <w:r w:rsidRPr="00DB7354">
        <w:rPr>
          <w:b/>
        </w:rPr>
        <w:t xml:space="preserve">Coal Prohibition (Quit Coal) </w:t>
      </w:r>
      <w:r w:rsidR="00622C24" w:rsidRPr="00DB7354">
        <w:rPr>
          <w:b/>
        </w:rPr>
        <w:t>Bill 2019</w:t>
      </w:r>
      <w:r w:rsidR="00BE7EA5" w:rsidRPr="00DB7354">
        <w:rPr>
          <w:b/>
        </w:rPr>
        <w:t>:</w:t>
      </w:r>
      <w:r>
        <w:t xml:space="preserve"> the committee reiterates its comments made in </w:t>
      </w:r>
      <w:hyperlink r:id="rId14" w:history="1">
        <w:r w:rsidRPr="00835A9C">
          <w:rPr>
            <w:rStyle w:val="Hyperlink"/>
            <w:i/>
          </w:rPr>
          <w:t>Scrutiny Digest 2 of 2019</w:t>
        </w:r>
      </w:hyperlink>
      <w:r w:rsidRPr="00835A9C">
        <w:t>.</w:t>
      </w:r>
    </w:p>
    <w:p w:rsidR="00A72AEC" w:rsidRPr="00DB7354" w:rsidRDefault="00A72AEC" w:rsidP="00016603">
      <w:pPr>
        <w:pStyle w:val="ListParagraph"/>
        <w:spacing w:before="0" w:after="60"/>
        <w:rPr>
          <w:bCs/>
        </w:rPr>
      </w:pPr>
      <w:r w:rsidRPr="00DB7354">
        <w:rPr>
          <w:b/>
        </w:rPr>
        <w:t>Communications Legislation Amendment (Deregulation and Other Measures) Bill 2019:</w:t>
      </w:r>
      <w:r>
        <w:t xml:space="preserve"> the committee is seeking advice on the </w:t>
      </w:r>
      <w:r w:rsidR="0092705C">
        <w:t xml:space="preserve">potential </w:t>
      </w:r>
      <w:r>
        <w:t xml:space="preserve">removal of parliamentary oversight of the </w:t>
      </w:r>
      <w:r>
        <w:lastRenderedPageBreak/>
        <w:t>scheme for the numbering of carriage services and broad delegations of administrative powers.</w:t>
      </w:r>
    </w:p>
    <w:p w:rsidR="00DB7354" w:rsidRPr="006E7D04" w:rsidRDefault="00DB7354" w:rsidP="00016603">
      <w:pPr>
        <w:pStyle w:val="ListParagraph"/>
        <w:spacing w:before="0" w:after="60"/>
        <w:rPr>
          <w:bCs/>
        </w:rPr>
      </w:pPr>
      <w:r w:rsidRPr="00DB7354">
        <w:rPr>
          <w:b/>
        </w:rPr>
        <w:t>Currency (Restrictions on the Use of Cash) Bill 2019:</w:t>
      </w:r>
      <w:r>
        <w:t xml:space="preserve"> the committee leaves to the Senate the appropriateness of leaving all of the exceptions to the</w:t>
      </w:r>
      <w:r w:rsidR="0092705C">
        <w:t xml:space="preserve"> proposed</w:t>
      </w:r>
      <w:r>
        <w:t xml:space="preserve"> </w:t>
      </w:r>
      <w:r w:rsidR="0092705C">
        <w:t xml:space="preserve">cash payment limit </w:t>
      </w:r>
      <w:r>
        <w:t>offences to delegated legislation.</w:t>
      </w:r>
    </w:p>
    <w:p w:rsidR="006E7D04" w:rsidRDefault="006E7D04" w:rsidP="00016603">
      <w:pPr>
        <w:pStyle w:val="ListParagraph"/>
        <w:spacing w:before="0" w:after="60"/>
        <w:rPr>
          <w:bCs/>
        </w:rPr>
      </w:pPr>
      <w:r w:rsidRPr="00DB7354">
        <w:rPr>
          <w:b/>
          <w:bCs/>
        </w:rPr>
        <w:t>Education Legislation Amendment (2019 Measures No. 1) Bill 2019</w:t>
      </w:r>
      <w:r>
        <w:rPr>
          <w:bCs/>
        </w:rPr>
        <w:t>: the committee is seeking advice on the use of offence-specific defences that reverse the evidential burden of proof.</w:t>
      </w:r>
    </w:p>
    <w:p w:rsidR="00DB7354" w:rsidRDefault="00DB7354" w:rsidP="00DB7354">
      <w:pPr>
        <w:pStyle w:val="ListParagraph"/>
        <w:rPr>
          <w:bCs/>
        </w:rPr>
      </w:pPr>
      <w:r w:rsidRPr="00DB7354">
        <w:rPr>
          <w:b/>
          <w:bCs/>
        </w:rPr>
        <w:t>Education Legislation Amendment (Tuition Protection and Other Measures) Bill 2019:</w:t>
      </w:r>
      <w:r>
        <w:rPr>
          <w:bCs/>
        </w:rPr>
        <w:t xml:space="preserve"> </w:t>
      </w:r>
      <w:r w:rsidR="0092705C">
        <w:rPr>
          <w:bCs/>
        </w:rPr>
        <w:t xml:space="preserve">the committee leaves to the Senate the </w:t>
      </w:r>
      <w:r w:rsidRPr="00DB7354">
        <w:rPr>
          <w:bCs/>
        </w:rPr>
        <w:t xml:space="preserve">appropriateness of specifying exemptions from the tuition protection scheme in delegated legislation </w:t>
      </w:r>
      <w:r w:rsidR="0092705C">
        <w:rPr>
          <w:bCs/>
        </w:rPr>
        <w:t xml:space="preserve">and </w:t>
      </w:r>
      <w:r w:rsidRPr="00DB7354">
        <w:rPr>
          <w:bCs/>
        </w:rPr>
        <w:t>allowing the minister to determine which providers the scheme will apply to in non-disallowable instruments.</w:t>
      </w:r>
    </w:p>
    <w:p w:rsidR="00DB7354" w:rsidRDefault="00DB7354" w:rsidP="00DB7354">
      <w:pPr>
        <w:pStyle w:val="ListParagraph"/>
        <w:rPr>
          <w:bCs/>
        </w:rPr>
      </w:pPr>
      <w:r w:rsidRPr="00DB7354">
        <w:rPr>
          <w:b/>
          <w:bCs/>
        </w:rPr>
        <w:t>Family Assistance Legislation Amendment (Building on the Child Care Package) Bill 2019:</w:t>
      </w:r>
      <w:r>
        <w:rPr>
          <w:bCs/>
        </w:rPr>
        <w:t xml:space="preserve"> the committee leaves to the Senate the </w:t>
      </w:r>
      <w:r w:rsidRPr="00DB7354">
        <w:rPr>
          <w:bCs/>
        </w:rPr>
        <w:t>appropriateness of leaving significant elements of the scheme</w:t>
      </w:r>
      <w:r w:rsidR="0092705C">
        <w:rPr>
          <w:bCs/>
        </w:rPr>
        <w:t xml:space="preserve"> for the provision of subsidies for in-home care</w:t>
      </w:r>
      <w:r w:rsidRPr="00DB7354">
        <w:rPr>
          <w:bCs/>
        </w:rPr>
        <w:t xml:space="preserve"> to delegated legislation and </w:t>
      </w:r>
      <w:r>
        <w:rPr>
          <w:bCs/>
        </w:rPr>
        <w:t>the removal of merits review</w:t>
      </w:r>
      <w:r w:rsidRPr="00DB7354">
        <w:rPr>
          <w:bCs/>
        </w:rPr>
        <w:t xml:space="preserve"> for certain decisions.</w:t>
      </w:r>
    </w:p>
    <w:p w:rsidR="006E7D04" w:rsidRDefault="00A70CCE" w:rsidP="00016603">
      <w:pPr>
        <w:pStyle w:val="ListParagraph"/>
        <w:spacing w:before="0" w:after="60"/>
        <w:rPr>
          <w:bCs/>
        </w:rPr>
      </w:pPr>
      <w:r w:rsidRPr="00DB7354">
        <w:rPr>
          <w:b/>
          <w:bCs/>
        </w:rPr>
        <w:t>Foreign Acquisitions and Takeovers Fees Imposition Amendment (Near-new Dwelling Interests) Bill 2019:</w:t>
      </w:r>
      <w:r>
        <w:rPr>
          <w:bCs/>
        </w:rPr>
        <w:t xml:space="preserve"> the committee leaves to the Senate the appropriateness of applying the amendments in the bill retrospectively. </w:t>
      </w:r>
    </w:p>
    <w:p w:rsidR="00A72AEC" w:rsidRDefault="00A72AEC" w:rsidP="00016603">
      <w:pPr>
        <w:pStyle w:val="ListParagraph"/>
        <w:spacing w:before="0" w:after="60"/>
        <w:rPr>
          <w:bCs/>
        </w:rPr>
      </w:pPr>
      <w:r w:rsidRPr="00DB7354">
        <w:rPr>
          <w:b/>
          <w:bCs/>
        </w:rPr>
        <w:t>Health Legislation Amendment (Data-matching and Other Matters) Bill 2019:</w:t>
      </w:r>
      <w:r>
        <w:rPr>
          <w:bCs/>
        </w:rPr>
        <w:t xml:space="preserve"> the committee is seeking advice on the appropriateness of leaving data-matching principles to delegated legislation and broad delegations of administrative powers.</w:t>
      </w:r>
    </w:p>
    <w:p w:rsidR="00DB7354" w:rsidRDefault="00DB7354" w:rsidP="00DB7354">
      <w:pPr>
        <w:pStyle w:val="ListParagraph"/>
        <w:spacing w:before="0" w:after="60"/>
        <w:rPr>
          <w:bCs/>
        </w:rPr>
      </w:pPr>
      <w:r w:rsidRPr="00DB7354">
        <w:rPr>
          <w:b/>
          <w:bCs/>
        </w:rPr>
        <w:t>Higher Education Support (HELP Tuition Protection Levy) Bill 2019 and VET Student Loans (VSL Tuition Protection Levy) Bill 2019:</w:t>
      </w:r>
      <w:r w:rsidRPr="00DB7354">
        <w:rPr>
          <w:bCs/>
        </w:rPr>
        <w:t xml:space="preserve"> the committee </w:t>
      </w:r>
      <w:r>
        <w:rPr>
          <w:bCs/>
        </w:rPr>
        <w:t>received advice regarding</w:t>
      </w:r>
      <w:r w:rsidRPr="00DB7354">
        <w:rPr>
          <w:bCs/>
        </w:rPr>
        <w:t xml:space="preserve"> allowing core elements of the levies to be determined by delegated legislation.</w:t>
      </w:r>
    </w:p>
    <w:p w:rsidR="00A70CCE" w:rsidRDefault="00A70CCE" w:rsidP="00016603">
      <w:pPr>
        <w:pStyle w:val="ListParagraph"/>
        <w:spacing w:before="0" w:after="60"/>
        <w:rPr>
          <w:bCs/>
        </w:rPr>
      </w:pPr>
      <w:r w:rsidRPr="00DB7354">
        <w:rPr>
          <w:b/>
          <w:bCs/>
        </w:rPr>
        <w:t>National Integrity (Parliamentary Standards) Bill 2019:</w:t>
      </w:r>
      <w:r>
        <w:rPr>
          <w:bCs/>
        </w:rPr>
        <w:t xml:space="preserve"> the committee reiterates its comments from </w:t>
      </w:r>
      <w:hyperlink r:id="rId15" w:history="1">
        <w:r w:rsidRPr="00835A9C">
          <w:rPr>
            <w:rStyle w:val="Hyperlink"/>
            <w:bCs/>
            <w:i/>
          </w:rPr>
          <w:t>Scrutiny Digest 1 of 2019</w:t>
        </w:r>
      </w:hyperlink>
      <w:r w:rsidRPr="00835A9C">
        <w:rPr>
          <w:bCs/>
        </w:rPr>
        <w:t>.</w:t>
      </w:r>
    </w:p>
    <w:p w:rsidR="00A70CCE" w:rsidRDefault="00A70CCE" w:rsidP="00016603">
      <w:pPr>
        <w:pStyle w:val="ListParagraph"/>
        <w:spacing w:before="0" w:after="60"/>
        <w:rPr>
          <w:bCs/>
        </w:rPr>
      </w:pPr>
      <w:r w:rsidRPr="00DB7354">
        <w:rPr>
          <w:b/>
          <w:bCs/>
        </w:rPr>
        <w:t>Native Title Legislation Amendment</w:t>
      </w:r>
      <w:r w:rsidR="00DB7354" w:rsidRPr="00DB7354">
        <w:rPr>
          <w:b/>
          <w:bCs/>
        </w:rPr>
        <w:t xml:space="preserve"> Bill 2019</w:t>
      </w:r>
      <w:r w:rsidRPr="00DB7354">
        <w:rPr>
          <w:b/>
          <w:bCs/>
        </w:rPr>
        <w:t>:</w:t>
      </w:r>
      <w:r>
        <w:rPr>
          <w:bCs/>
        </w:rPr>
        <w:t xml:space="preserve"> the committee is seeking advice regarding the retrospective validation of certain native title agreements.</w:t>
      </w:r>
    </w:p>
    <w:p w:rsidR="00DB7354" w:rsidRDefault="00DB7354" w:rsidP="00DB7354">
      <w:pPr>
        <w:pStyle w:val="ListParagraph"/>
      </w:pPr>
      <w:r w:rsidRPr="00DB7354">
        <w:rPr>
          <w:b/>
        </w:rPr>
        <w:t>Protection of the Sea (Prevention of Pollution from Ships) Amendment (Air Pollution) Bill 2019:</w:t>
      </w:r>
      <w:r>
        <w:t xml:space="preserve"> the committee leaves to the Senate the appropriateness </w:t>
      </w:r>
      <w:r>
        <w:rPr>
          <w:bCs/>
        </w:rPr>
        <w:t>of including</w:t>
      </w:r>
      <w:r w:rsidRPr="00DB7354">
        <w:rPr>
          <w:bCs/>
        </w:rPr>
        <w:t xml:space="preserve"> offences that reverse the evidential and legal burden of proof.</w:t>
      </w:r>
    </w:p>
    <w:p w:rsidR="00A70CCE" w:rsidRDefault="00A70CCE" w:rsidP="00016603">
      <w:pPr>
        <w:pStyle w:val="ListParagraph"/>
        <w:spacing w:before="0" w:after="60"/>
        <w:rPr>
          <w:bCs/>
        </w:rPr>
      </w:pPr>
      <w:r w:rsidRPr="00DB7354">
        <w:rPr>
          <w:b/>
          <w:bCs/>
        </w:rPr>
        <w:t>Telecommunications (Interception and Access) Amendment (Assistance and Access Amendments Review) Bill 2019:</w:t>
      </w:r>
      <w:r>
        <w:rPr>
          <w:bCs/>
        </w:rPr>
        <w:t xml:space="preserve"> the committee leaves to the Senate the appropriateness of deferring</w:t>
      </w:r>
      <w:r w:rsidR="00862538">
        <w:rPr>
          <w:bCs/>
        </w:rPr>
        <w:t xml:space="preserve"> the deadline for a review report.</w:t>
      </w:r>
    </w:p>
    <w:p w:rsidR="00862538" w:rsidRDefault="00862538" w:rsidP="00016603">
      <w:pPr>
        <w:pStyle w:val="ListParagraph"/>
        <w:spacing w:before="0" w:after="60"/>
        <w:rPr>
          <w:bCs/>
        </w:rPr>
      </w:pPr>
      <w:r w:rsidRPr="00DB7354">
        <w:rPr>
          <w:b/>
          <w:bCs/>
        </w:rPr>
        <w:t>Transport Security Amendment (Serious Crime) Bill 2019:</w:t>
      </w:r>
      <w:r>
        <w:rPr>
          <w:bCs/>
        </w:rPr>
        <w:t xml:space="preserve"> the committee is seeking advice regarding leaving the requirements relating to access to</w:t>
      </w:r>
      <w:r w:rsidR="0092705C">
        <w:rPr>
          <w:bCs/>
        </w:rPr>
        <w:t xml:space="preserve"> </w:t>
      </w:r>
      <w:r>
        <w:rPr>
          <w:bCs/>
        </w:rPr>
        <w:t>aviation and maritime transport zones to delegated legislation, including the ability to set penalties.</w:t>
      </w:r>
    </w:p>
    <w:p w:rsidR="00862538" w:rsidRPr="00FE00B0" w:rsidRDefault="00862538" w:rsidP="00016603">
      <w:pPr>
        <w:pStyle w:val="ListParagraph"/>
        <w:spacing w:before="0" w:after="60"/>
        <w:rPr>
          <w:bCs/>
        </w:rPr>
      </w:pPr>
      <w:r w:rsidRPr="00DB7354">
        <w:rPr>
          <w:b/>
          <w:bCs/>
        </w:rPr>
        <w:lastRenderedPageBreak/>
        <w:t>Treasury Laws Amendment (Reducing Pressure on Housing Affordability Measures) Bill 2019:</w:t>
      </w:r>
      <w:r>
        <w:rPr>
          <w:bCs/>
        </w:rPr>
        <w:t xml:space="preserve"> the committee leaves to the Senate the appropriateness of applying the amendments in the bill retrospectively.</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6" w:history="1">
        <w:r w:rsidRPr="000A465F">
          <w:rPr>
            <w:rStyle w:val="Hyperlink"/>
            <w:i/>
            <w:iCs/>
            <w:sz w:val="20"/>
            <w:szCs w:val="20"/>
            <w:lang w:val="en-GB"/>
          </w:rPr>
          <w:t>Delegat</w:t>
        </w:r>
        <w:r w:rsidR="00B7262B" w:rsidRPr="000A465F">
          <w:rPr>
            <w:rStyle w:val="Hyperlink"/>
            <w:i/>
            <w:iCs/>
            <w:sz w:val="20"/>
            <w:szCs w:val="20"/>
            <w:lang w:val="en-GB"/>
          </w:rPr>
          <w:t>ed Legislation M</w:t>
        </w:r>
        <w:r w:rsidR="00622C24" w:rsidRPr="000A465F">
          <w:rPr>
            <w:rStyle w:val="Hyperlink"/>
            <w:i/>
            <w:iCs/>
            <w:sz w:val="20"/>
            <w:szCs w:val="20"/>
            <w:lang w:val="en-GB"/>
          </w:rPr>
          <w:t>onitor</w:t>
        </w:r>
        <w:r w:rsidR="004E5C2A" w:rsidRPr="000A465F">
          <w:rPr>
            <w:rStyle w:val="Hyperlink"/>
            <w:i/>
            <w:iCs/>
            <w:sz w:val="20"/>
            <w:szCs w:val="20"/>
            <w:lang w:val="en-GB"/>
          </w:rPr>
          <w:t>8</w:t>
        </w:r>
        <w:r w:rsidR="00622C24" w:rsidRPr="000A465F">
          <w:rPr>
            <w:rStyle w:val="Hyperlink"/>
            <w:i/>
            <w:iCs/>
            <w:sz w:val="20"/>
            <w:szCs w:val="20"/>
            <w:lang w:val="en-GB"/>
          </w:rPr>
          <w:t xml:space="preserve"> of 2019</w:t>
        </w:r>
      </w:hyperlink>
      <w:bookmarkStart w:id="0" w:name="_GoBack"/>
      <w:bookmarkEnd w:id="0"/>
      <w:r w:rsidRPr="00D232B6">
        <w:rPr>
          <w:i/>
          <w:iCs/>
          <w:sz w:val="20"/>
          <w:szCs w:val="20"/>
          <w:lang w:val="en-GB"/>
        </w:rPr>
        <w:t>)</w:t>
      </w:r>
    </w:p>
    <w:p w:rsidR="00DA2F6B" w:rsidRDefault="00DA2F6B" w:rsidP="00DA2F6B">
      <w:pPr>
        <w:pStyle w:val="ListParagraph"/>
        <w:ind w:left="644" w:hanging="360"/>
      </w:pPr>
      <w:r w:rsidRPr="00D20C41">
        <w:t xml:space="preserve">The Regulations and Ordinances committee considered </w:t>
      </w:r>
      <w:r w:rsidR="004E5C2A">
        <w:t>103</w:t>
      </w:r>
      <w:r>
        <w:t xml:space="preserve"> disallowable</w:t>
      </w:r>
      <w:r w:rsidRPr="00D20C41">
        <w:t xml:space="preserve"> legislative instruments registered on the Federal Re</w:t>
      </w:r>
      <w:r>
        <w:t>gister of Legislation between</w:t>
      </w:r>
      <w:r w:rsidR="004E5C2A">
        <w:t xml:space="preserve"> 18 September</w:t>
      </w:r>
      <w:r>
        <w:t xml:space="preserve"> 2019 and </w:t>
      </w:r>
      <w:r w:rsidR="004E5C2A">
        <w:t>16 October</w:t>
      </w:r>
      <w:r w:rsidRPr="00D20C41">
        <w:t xml:space="preserve"> 2019. The committee is continuing to engage with minister</w:t>
      </w:r>
      <w:r>
        <w:t xml:space="preserve">s and agencies in relation to </w:t>
      </w:r>
      <w:r w:rsidR="004E5C2A">
        <w:t>9</w:t>
      </w:r>
      <w:r w:rsidRPr="00D20C41">
        <w:t xml:space="preserve"> instruments, and has c</w:t>
      </w:r>
      <w:r>
        <w:t xml:space="preserve">oncluded its consideration of </w:t>
      </w:r>
      <w:r w:rsidR="004E5C2A">
        <w:t>14</w:t>
      </w:r>
      <w:r w:rsidRPr="00D20C41">
        <w:t xml:space="preserve"> instruments. </w:t>
      </w:r>
    </w:p>
    <w:p w:rsidR="00DA2F6B" w:rsidRDefault="00DA2F6B" w:rsidP="00DA2F6B">
      <w:pPr>
        <w:pStyle w:val="ListParagraph"/>
        <w:ind w:left="644" w:hanging="360"/>
      </w:pPr>
      <w:r>
        <w:t xml:space="preserve">All legislative instruments subject to a notice of motion for disallowance in either House of Parliament are listed in the </w:t>
      </w:r>
      <w:hyperlink r:id="rId17"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DA2F6B" w:rsidRDefault="00DA2F6B" w:rsidP="00DA2F6B">
      <w:r>
        <w:t xml:space="preserve">At its private meeting on Wednesday </w:t>
      </w:r>
      <w:r w:rsidR="004E5C2A">
        <w:t>13 November</w:t>
      </w:r>
      <w:r>
        <w:t xml:space="preserve"> 2019, the Senate Regulations and Ordinances Committee resolved to </w:t>
      </w:r>
      <w:r>
        <w:rPr>
          <w:b/>
        </w:rPr>
        <w:t>place</w:t>
      </w:r>
      <w:r>
        <w:t xml:space="preserve"> </w:t>
      </w:r>
      <w:r w:rsidR="00EB6942">
        <w:t>a notice</w:t>
      </w:r>
      <w:r>
        <w:t xml:space="preserve"> of motion to di</w:t>
      </w:r>
      <w:r w:rsidR="00EB6942">
        <w:t>sallow the following instrument</w:t>
      </w:r>
      <w:r>
        <w:t>:</w:t>
      </w:r>
    </w:p>
    <w:p w:rsidR="004E5C2A" w:rsidRDefault="004E5C2A" w:rsidP="004E5C2A">
      <w:pPr>
        <w:pStyle w:val="ListParagraph"/>
        <w:numPr>
          <w:ilvl w:val="0"/>
          <w:numId w:val="14"/>
        </w:numPr>
      </w:pPr>
      <w:r w:rsidRPr="004E5C2A">
        <w:t xml:space="preserve">CASA EX101/19 — Helicopter Aerial Application Endorsements Exemption 2019 </w:t>
      </w:r>
      <w:r>
        <w:t>[</w:t>
      </w:r>
      <w:r w:rsidRPr="004E5C2A">
        <w:t>F2019L01132</w:t>
      </w:r>
      <w:r>
        <w:t>]</w:t>
      </w:r>
    </w:p>
    <w:p w:rsidR="00DA2F6B" w:rsidRDefault="00EB6942" w:rsidP="00DA2F6B">
      <w:r w:rsidRPr="00EB6942">
        <w:t>Since its private meeting on 16 October</w:t>
      </w:r>
      <w:r w:rsidR="00DA2F6B">
        <w:t xml:space="preserve"> 2019, the Senate Regulations and Ordinances Committee resolved to </w:t>
      </w:r>
      <w:r w:rsidR="00DA2F6B">
        <w:rPr>
          <w:b/>
        </w:rPr>
        <w:t>withdraw</w:t>
      </w:r>
      <w:r w:rsidR="00DA2F6B">
        <w:t xml:space="preserve"> notices of motions to disallow the following instruments:</w:t>
      </w:r>
    </w:p>
    <w:p w:rsidR="00BB67C7" w:rsidRDefault="004E5C2A" w:rsidP="00BB67C7">
      <w:pPr>
        <w:pStyle w:val="ListParagraph"/>
        <w:numPr>
          <w:ilvl w:val="0"/>
          <w:numId w:val="14"/>
        </w:numPr>
      </w:pPr>
      <w:r w:rsidRPr="004E5C2A">
        <w:t>Air Services Regulations 2019</w:t>
      </w:r>
      <w:r>
        <w:t xml:space="preserve"> [</w:t>
      </w:r>
      <w:r w:rsidRPr="004E5C2A">
        <w:t>F2019L00371</w:t>
      </w:r>
      <w:r w:rsidR="00BB67C7">
        <w:t>];</w:t>
      </w:r>
    </w:p>
    <w:p w:rsidR="00BB67C7" w:rsidRDefault="00BB67C7" w:rsidP="00BB67C7">
      <w:pPr>
        <w:pStyle w:val="ListParagraph"/>
        <w:numPr>
          <w:ilvl w:val="0"/>
          <w:numId w:val="14"/>
        </w:numPr>
      </w:pPr>
      <w:r>
        <w:t>Immigration (Guardianship of Children) Regulations 2018 [F2018L01708]; and</w:t>
      </w:r>
    </w:p>
    <w:p w:rsidR="004E5C2A" w:rsidRPr="004E5C2A" w:rsidRDefault="004E5C2A" w:rsidP="004E5C2A">
      <w:pPr>
        <w:pStyle w:val="NormalWeb"/>
        <w:numPr>
          <w:ilvl w:val="0"/>
          <w:numId w:val="14"/>
        </w:numPr>
        <w:spacing w:before="0" w:beforeAutospacing="0" w:after="0" w:afterAutospacing="0"/>
        <w:rPr>
          <w:rFonts w:ascii="Calibri" w:hAnsi="Calibri"/>
          <w:szCs w:val="22"/>
        </w:rPr>
      </w:pPr>
      <w:r w:rsidRPr="004E5C2A">
        <w:rPr>
          <w:rFonts w:ascii="Calibri" w:hAnsi="Calibri"/>
          <w:szCs w:val="22"/>
        </w:rPr>
        <w:t>Road Vehicle Standards Rules 2018 [F2019L00198</w:t>
      </w:r>
      <w:r>
        <w:rPr>
          <w:rFonts w:ascii="Calibri" w:hAnsi="Calibri"/>
          <w:szCs w:val="22"/>
        </w:rPr>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4C30AE">
        <w:t xml:space="preserve">Glenn Ryall, </w:t>
      </w:r>
      <w:r w:rsidRPr="008238D1">
        <w:t>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8"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9"/>
      <w:headerReference w:type="first" r:id="rId20"/>
      <w:footerReference w:type="first" r:id="rId21"/>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F2" w:rsidRDefault="00CF44F2" w:rsidP="00D77905">
      <w:pPr>
        <w:spacing w:after="0" w:line="240" w:lineRule="auto"/>
      </w:pPr>
      <w:r>
        <w:separator/>
      </w:r>
    </w:p>
  </w:endnote>
  <w:endnote w:type="continuationSeparator" w:id="0">
    <w:p w:rsidR="00CF44F2" w:rsidRDefault="00CF44F2"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F2" w:rsidRDefault="00CF44F2" w:rsidP="00D77905">
      <w:pPr>
        <w:spacing w:after="0" w:line="240" w:lineRule="auto"/>
      </w:pPr>
      <w:r>
        <w:separator/>
      </w:r>
    </w:p>
  </w:footnote>
  <w:footnote w:type="continuationSeparator" w:id="0">
    <w:p w:rsidR="00CF44F2" w:rsidRDefault="00CF44F2"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2BE5A57"/>
    <w:multiLevelType w:val="hybridMultilevel"/>
    <w:tmpl w:val="00A4F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10"/>
  </w:num>
  <w:num w:numId="6">
    <w:abstractNumId w:val="4"/>
  </w:num>
  <w:num w:numId="7">
    <w:abstractNumId w:val="12"/>
  </w:num>
  <w:num w:numId="8">
    <w:abstractNumId w:val="7"/>
  </w:num>
  <w:num w:numId="9">
    <w:abstractNumId w:val="11"/>
  </w:num>
  <w:num w:numId="10">
    <w:abstractNumId w:val="2"/>
  </w:num>
  <w:num w:numId="11">
    <w:abstractNumId w:val="8"/>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F2"/>
    <w:rsid w:val="000006AC"/>
    <w:rsid w:val="00016603"/>
    <w:rsid w:val="00046BBF"/>
    <w:rsid w:val="0005089A"/>
    <w:rsid w:val="0006580D"/>
    <w:rsid w:val="00080C86"/>
    <w:rsid w:val="000976B1"/>
    <w:rsid w:val="000A0E54"/>
    <w:rsid w:val="000A453A"/>
    <w:rsid w:val="000A465F"/>
    <w:rsid w:val="000C2760"/>
    <w:rsid w:val="000E129E"/>
    <w:rsid w:val="000E2832"/>
    <w:rsid w:val="00113DF8"/>
    <w:rsid w:val="00142C14"/>
    <w:rsid w:val="001857AB"/>
    <w:rsid w:val="00193703"/>
    <w:rsid w:val="001D12CF"/>
    <w:rsid w:val="001F7917"/>
    <w:rsid w:val="00200BDE"/>
    <w:rsid w:val="00212263"/>
    <w:rsid w:val="00231FA1"/>
    <w:rsid w:val="0028134D"/>
    <w:rsid w:val="0029217B"/>
    <w:rsid w:val="002D627A"/>
    <w:rsid w:val="002E14D3"/>
    <w:rsid w:val="002E33E2"/>
    <w:rsid w:val="00334D68"/>
    <w:rsid w:val="00344392"/>
    <w:rsid w:val="003547E9"/>
    <w:rsid w:val="00371C11"/>
    <w:rsid w:val="00376075"/>
    <w:rsid w:val="00385D29"/>
    <w:rsid w:val="003A6069"/>
    <w:rsid w:val="003D47B6"/>
    <w:rsid w:val="00476584"/>
    <w:rsid w:val="004B0C43"/>
    <w:rsid w:val="004C30AE"/>
    <w:rsid w:val="004C30DE"/>
    <w:rsid w:val="004D71D1"/>
    <w:rsid w:val="004E5C2A"/>
    <w:rsid w:val="005242F6"/>
    <w:rsid w:val="00525ACA"/>
    <w:rsid w:val="005378A5"/>
    <w:rsid w:val="005531BF"/>
    <w:rsid w:val="0057466B"/>
    <w:rsid w:val="00584BF6"/>
    <w:rsid w:val="005867FF"/>
    <w:rsid w:val="005B56DB"/>
    <w:rsid w:val="005D4867"/>
    <w:rsid w:val="006024BB"/>
    <w:rsid w:val="006033E3"/>
    <w:rsid w:val="006204E4"/>
    <w:rsid w:val="00622C24"/>
    <w:rsid w:val="00637874"/>
    <w:rsid w:val="0068651B"/>
    <w:rsid w:val="00693257"/>
    <w:rsid w:val="006B19CD"/>
    <w:rsid w:val="006D1109"/>
    <w:rsid w:val="006E7D04"/>
    <w:rsid w:val="00710B6E"/>
    <w:rsid w:val="007161B5"/>
    <w:rsid w:val="007321ED"/>
    <w:rsid w:val="00733A02"/>
    <w:rsid w:val="007379BB"/>
    <w:rsid w:val="00784927"/>
    <w:rsid w:val="00797C7B"/>
    <w:rsid w:val="007E05E0"/>
    <w:rsid w:val="007F25C7"/>
    <w:rsid w:val="00805F77"/>
    <w:rsid w:val="008238D1"/>
    <w:rsid w:val="008255D7"/>
    <w:rsid w:val="00835A9C"/>
    <w:rsid w:val="00862538"/>
    <w:rsid w:val="008B03F6"/>
    <w:rsid w:val="008C35E1"/>
    <w:rsid w:val="0092705C"/>
    <w:rsid w:val="0098172D"/>
    <w:rsid w:val="0098317C"/>
    <w:rsid w:val="009B4C2D"/>
    <w:rsid w:val="009E16D8"/>
    <w:rsid w:val="009F69A7"/>
    <w:rsid w:val="00A34E25"/>
    <w:rsid w:val="00A4199B"/>
    <w:rsid w:val="00A56273"/>
    <w:rsid w:val="00A70CCE"/>
    <w:rsid w:val="00A72AEC"/>
    <w:rsid w:val="00A73668"/>
    <w:rsid w:val="00AC3E02"/>
    <w:rsid w:val="00AE4FB1"/>
    <w:rsid w:val="00AF6E40"/>
    <w:rsid w:val="00AF751B"/>
    <w:rsid w:val="00B7262B"/>
    <w:rsid w:val="00B762B0"/>
    <w:rsid w:val="00B96A7F"/>
    <w:rsid w:val="00BA1D33"/>
    <w:rsid w:val="00BB67C7"/>
    <w:rsid w:val="00BE6531"/>
    <w:rsid w:val="00BE7EA5"/>
    <w:rsid w:val="00C8796B"/>
    <w:rsid w:val="00CB3A5D"/>
    <w:rsid w:val="00CC1897"/>
    <w:rsid w:val="00CF44F2"/>
    <w:rsid w:val="00D04409"/>
    <w:rsid w:val="00D11666"/>
    <w:rsid w:val="00D232B6"/>
    <w:rsid w:val="00D50A2F"/>
    <w:rsid w:val="00D77905"/>
    <w:rsid w:val="00D86BCD"/>
    <w:rsid w:val="00D95932"/>
    <w:rsid w:val="00DA2F6B"/>
    <w:rsid w:val="00DA66C0"/>
    <w:rsid w:val="00DB7354"/>
    <w:rsid w:val="00DD62F1"/>
    <w:rsid w:val="00DD6A96"/>
    <w:rsid w:val="00DE6E13"/>
    <w:rsid w:val="00E0218B"/>
    <w:rsid w:val="00E1788F"/>
    <w:rsid w:val="00E52A12"/>
    <w:rsid w:val="00EB15FF"/>
    <w:rsid w:val="00EB6942"/>
    <w:rsid w:val="00ED761D"/>
    <w:rsid w:val="00EF3BF2"/>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4E5C2A"/>
    <w:pPr>
      <w:spacing w:before="100" w:beforeAutospacing="1" w:after="100" w:afterAutospacing="1" w:line="240" w:lineRule="auto"/>
      <w:ind w:right="0"/>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7379BB"/>
    <w:rPr>
      <w:sz w:val="16"/>
      <w:szCs w:val="16"/>
    </w:rPr>
  </w:style>
  <w:style w:type="paragraph" w:styleId="CommentText">
    <w:name w:val="annotation text"/>
    <w:basedOn w:val="Normal"/>
    <w:link w:val="CommentTextChar"/>
    <w:uiPriority w:val="99"/>
    <w:semiHidden/>
    <w:unhideWhenUsed/>
    <w:rsid w:val="007379BB"/>
    <w:pPr>
      <w:spacing w:line="240" w:lineRule="auto"/>
    </w:pPr>
    <w:rPr>
      <w:sz w:val="20"/>
      <w:szCs w:val="20"/>
    </w:rPr>
  </w:style>
  <w:style w:type="character" w:customStyle="1" w:styleId="CommentTextChar">
    <w:name w:val="Comment Text Char"/>
    <w:basedOn w:val="DefaultParagraphFont"/>
    <w:link w:val="CommentText"/>
    <w:uiPriority w:val="99"/>
    <w:semiHidden/>
    <w:rsid w:val="007379BB"/>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7379BB"/>
    <w:rPr>
      <w:b/>
      <w:bCs/>
    </w:rPr>
  </w:style>
  <w:style w:type="character" w:customStyle="1" w:styleId="CommentSubjectChar">
    <w:name w:val="Comment Subject Char"/>
    <w:basedOn w:val="CommentTextChar"/>
    <w:link w:val="CommentSubject"/>
    <w:uiPriority w:val="99"/>
    <w:semiHidden/>
    <w:rsid w:val="007379BB"/>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4E5C2A"/>
    <w:pPr>
      <w:spacing w:before="100" w:beforeAutospacing="1" w:after="100" w:afterAutospacing="1" w:line="240" w:lineRule="auto"/>
      <w:ind w:right="0"/>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7379BB"/>
    <w:rPr>
      <w:sz w:val="16"/>
      <w:szCs w:val="16"/>
    </w:rPr>
  </w:style>
  <w:style w:type="paragraph" w:styleId="CommentText">
    <w:name w:val="annotation text"/>
    <w:basedOn w:val="Normal"/>
    <w:link w:val="CommentTextChar"/>
    <w:uiPriority w:val="99"/>
    <w:semiHidden/>
    <w:unhideWhenUsed/>
    <w:rsid w:val="007379BB"/>
    <w:pPr>
      <w:spacing w:line="240" w:lineRule="auto"/>
    </w:pPr>
    <w:rPr>
      <w:sz w:val="20"/>
      <w:szCs w:val="20"/>
    </w:rPr>
  </w:style>
  <w:style w:type="character" w:customStyle="1" w:styleId="CommentTextChar">
    <w:name w:val="Comment Text Char"/>
    <w:basedOn w:val="DefaultParagraphFont"/>
    <w:link w:val="CommentText"/>
    <w:uiPriority w:val="99"/>
    <w:semiHidden/>
    <w:rsid w:val="007379BB"/>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7379BB"/>
    <w:rPr>
      <w:b/>
      <w:bCs/>
    </w:rPr>
  </w:style>
  <w:style w:type="character" w:customStyle="1" w:styleId="CommentSubjectChar">
    <w:name w:val="Comment Subject Char"/>
    <w:basedOn w:val="CommentTextChar"/>
    <w:link w:val="CommentSubject"/>
    <w:uiPriority w:val="99"/>
    <w:semiHidden/>
    <w:rsid w:val="007379BB"/>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976111582">
      <w:bodyDiv w:val="1"/>
      <w:marLeft w:val="0"/>
      <w:marRight w:val="0"/>
      <w:marTop w:val="0"/>
      <w:marBottom w:val="0"/>
      <w:divBdr>
        <w:top w:val="none" w:sz="0" w:space="0" w:color="auto"/>
        <w:left w:val="none" w:sz="0" w:space="0" w:color="auto"/>
        <w:bottom w:val="none" w:sz="0" w:space="0" w:color="auto"/>
        <w:right w:val="none" w:sz="0" w:space="0" w:color="auto"/>
      </w:divBdr>
    </w:div>
    <w:div w:id="1417941370">
      <w:bodyDiv w:val="1"/>
      <w:marLeft w:val="0"/>
      <w:marRight w:val="0"/>
      <w:marTop w:val="0"/>
      <w:marBottom w:val="0"/>
      <w:divBdr>
        <w:top w:val="none" w:sz="0" w:space="0" w:color="auto"/>
        <w:left w:val="none" w:sz="0" w:space="0" w:color="auto"/>
        <w:bottom w:val="none" w:sz="0" w:space="0" w:color="auto"/>
        <w:right w:val="none" w:sz="0" w:space="0" w:color="auto"/>
      </w:divBdr>
    </w:div>
    <w:div w:id="1433815875">
      <w:bodyDiv w:val="1"/>
      <w:marLeft w:val="0"/>
      <w:marRight w:val="0"/>
      <w:marTop w:val="0"/>
      <w:marBottom w:val="0"/>
      <w:divBdr>
        <w:top w:val="none" w:sz="0" w:space="0" w:color="auto"/>
        <w:left w:val="none" w:sz="0" w:space="0" w:color="auto"/>
        <w:bottom w:val="none" w:sz="0" w:space="0" w:color="auto"/>
        <w:right w:val="none" w:sz="0" w:space="0" w:color="auto"/>
      </w:divBdr>
      <w:divsChild>
        <w:div w:id="1496148994">
          <w:marLeft w:val="0"/>
          <w:marRight w:val="0"/>
          <w:marTop w:val="0"/>
          <w:marBottom w:val="0"/>
          <w:divBdr>
            <w:top w:val="none" w:sz="0" w:space="0" w:color="auto"/>
            <w:left w:val="none" w:sz="0" w:space="0" w:color="auto"/>
            <w:bottom w:val="none" w:sz="0" w:space="0" w:color="auto"/>
            <w:right w:val="none" w:sz="0" w:space="0" w:color="auto"/>
          </w:divBdr>
          <w:divsChild>
            <w:div w:id="1907179977">
              <w:marLeft w:val="0"/>
              <w:marRight w:val="0"/>
              <w:marTop w:val="0"/>
              <w:marBottom w:val="225"/>
              <w:divBdr>
                <w:top w:val="none" w:sz="0" w:space="0" w:color="auto"/>
                <w:left w:val="none" w:sz="0" w:space="0" w:color="auto"/>
                <w:bottom w:val="none" w:sz="0" w:space="0" w:color="auto"/>
                <w:right w:val="none" w:sz="0" w:space="0" w:color="auto"/>
              </w:divBdr>
            </w:div>
          </w:divsChild>
        </w:div>
        <w:div w:id="940991120">
          <w:marLeft w:val="0"/>
          <w:marRight w:val="0"/>
          <w:marTop w:val="0"/>
          <w:marBottom w:val="0"/>
          <w:divBdr>
            <w:top w:val="none" w:sz="0" w:space="0" w:color="auto"/>
            <w:left w:val="none" w:sz="0" w:space="0" w:color="auto"/>
            <w:bottom w:val="none" w:sz="0" w:space="0" w:color="auto"/>
            <w:right w:val="none" w:sz="0" w:space="0" w:color="auto"/>
          </w:divBdr>
        </w:div>
      </w:divsChild>
    </w:div>
    <w:div w:id="1551922049">
      <w:bodyDiv w:val="1"/>
      <w:marLeft w:val="0"/>
      <w:marRight w:val="0"/>
      <w:marTop w:val="0"/>
      <w:marBottom w:val="0"/>
      <w:divBdr>
        <w:top w:val="none" w:sz="0" w:space="0" w:color="auto"/>
        <w:left w:val="none" w:sz="0" w:space="0" w:color="auto"/>
        <w:bottom w:val="none" w:sz="0" w:space="0" w:color="auto"/>
        <w:right w:val="none" w:sz="0" w:space="0" w:color="auto"/>
      </w:divBdr>
    </w:div>
    <w:div w:id="1781417162">
      <w:bodyDiv w:val="1"/>
      <w:marLeft w:val="0"/>
      <w:marRight w:val="0"/>
      <w:marTop w:val="0"/>
      <w:marBottom w:val="0"/>
      <w:divBdr>
        <w:top w:val="none" w:sz="0" w:space="0" w:color="auto"/>
        <w:left w:val="none" w:sz="0" w:space="0" w:color="auto"/>
        <w:bottom w:val="none" w:sz="0" w:space="0" w:color="auto"/>
        <w:right w:val="none" w:sz="0" w:space="0" w:color="auto"/>
      </w:divBdr>
    </w:div>
    <w:div w:id="1812792082">
      <w:bodyDiv w:val="1"/>
      <w:marLeft w:val="0"/>
      <w:marRight w:val="0"/>
      <w:marTop w:val="0"/>
      <w:marBottom w:val="0"/>
      <w:divBdr>
        <w:top w:val="none" w:sz="0" w:space="0" w:color="auto"/>
        <w:left w:val="none" w:sz="0" w:space="0" w:color="auto"/>
        <w:bottom w:val="none" w:sz="0" w:space="0" w:color="auto"/>
        <w:right w:val="none" w:sz="0" w:space="0" w:color="auto"/>
      </w:divBdr>
    </w:div>
    <w:div w:id="19830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9/PDF/d08.pdf?la=en" TargetMode="External"/><Relationship Id="rId18" Type="http://schemas.openxmlformats.org/officeDocument/2006/relationships/hyperlink" Target="mailto:scrutiny.sen@aph.gov.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aph.gov.au/~/media/Committees/Senate/committee/regord_ctte/mon2019/Delegated%20Legislation%20Monitor%208%20of%202019.pdf?la=en" TargetMode="External"/><Relationship Id="rId17" Type="http://schemas.openxmlformats.org/officeDocument/2006/relationships/hyperlink" Target="https://www.aph.gov.au/Parliamentary_Business/Committees/Senate/Regulations_and_Ordinances/Alerts" TargetMode="External"/><Relationship Id="rId2" Type="http://schemas.openxmlformats.org/officeDocument/2006/relationships/numbering" Target="numbering.xml"/><Relationship Id="rId16" Type="http://schemas.openxmlformats.org/officeDocument/2006/relationships/hyperlink" Target="https://www.aph.gov.au/~/media/Committees/Senate/committee/regord_ctte/mon2019/Delegated%20Legislation%20Monitor%208%20of%202019.pdf?la=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08.pdf?la=en" TargetMode="External"/><Relationship Id="rId5" Type="http://schemas.openxmlformats.org/officeDocument/2006/relationships/settings" Target="settings.xml"/><Relationship Id="rId15" Type="http://schemas.openxmlformats.org/officeDocument/2006/relationships/hyperlink" Target="https://www.aph.gov.au/~/media/Committees/Senate/committee/scrutiny/scrutiny_digest/2019/PDF/d01.pdf?la=en" TargetMode="External"/><Relationship Id="rId23" Type="http://schemas.openxmlformats.org/officeDocument/2006/relationships/theme" Target="theme/theme1.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19/PDF/d02.pdf?la=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C2E2-884A-4A10-9672-8DB0B64E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 2019.dotx</Template>
  <TotalTime>275</TotalTime>
  <Pages>4</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Helme, Katie (SEN)</dc:creator>
  <cp:lastModifiedBy>Ingrid Zappe</cp:lastModifiedBy>
  <cp:revision>18</cp:revision>
  <cp:lastPrinted>2019-11-13T06:19:00Z</cp:lastPrinted>
  <dcterms:created xsi:type="dcterms:W3CDTF">2019-11-11T00:05:00Z</dcterms:created>
  <dcterms:modified xsi:type="dcterms:W3CDTF">2019-11-13T21:50:00Z</dcterms:modified>
</cp:coreProperties>
</file>