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2A6292" w:rsidRDefault="00D55A17" w:rsidP="00AB7E40">
      <w:pPr>
        <w:pStyle w:val="Heading1"/>
        <w:spacing w:before="480" w:after="0" w:line="20" w:lineRule="atLeast"/>
        <w:rPr>
          <w:rFonts w:eastAsia="Times New Roman"/>
          <w:sz w:val="32"/>
          <w:szCs w:val="32"/>
          <w:lang w:val="en-GB"/>
        </w:rPr>
      </w:pPr>
      <w:r>
        <w:rPr>
          <w:rFonts w:eastAsia="Times New Roman"/>
          <w:sz w:val="36"/>
          <w:szCs w:val="36"/>
          <w:lang w:val="en-GB"/>
        </w:rPr>
        <w:t>1</w:t>
      </w:r>
      <w:r w:rsidR="00AB7E40">
        <w:rPr>
          <w:rFonts w:eastAsia="Times New Roman"/>
          <w:sz w:val="36"/>
          <w:szCs w:val="36"/>
          <w:lang w:val="en-GB"/>
        </w:rPr>
        <w:t>6</w:t>
      </w:r>
      <w:r>
        <w:rPr>
          <w:rFonts w:eastAsia="Times New Roman"/>
          <w:sz w:val="36"/>
          <w:szCs w:val="36"/>
          <w:lang w:val="en-GB"/>
        </w:rPr>
        <w:t xml:space="preserve"> </w:t>
      </w:r>
      <w:r w:rsidR="00F47467">
        <w:rPr>
          <w:rFonts w:eastAsia="Times New Roman"/>
          <w:sz w:val="36"/>
          <w:szCs w:val="36"/>
          <w:lang w:val="en-GB"/>
        </w:rPr>
        <w:t>Octo</w:t>
      </w:r>
      <w:r>
        <w:rPr>
          <w:rFonts w:eastAsia="Times New Roman"/>
          <w:sz w:val="36"/>
          <w:szCs w:val="36"/>
          <w:lang w:val="en-GB"/>
        </w:rPr>
        <w:t>ber</w:t>
      </w:r>
      <w:r w:rsidR="00DF7565" w:rsidRPr="00DF7565">
        <w:rPr>
          <w:rFonts w:eastAsia="Times New Roman"/>
          <w:sz w:val="36"/>
          <w:szCs w:val="36"/>
          <w:lang w:val="en-GB"/>
        </w:rPr>
        <w:t xml:space="preserve"> 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2C18F9">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Alert Digest No</w:t>
      </w:r>
      <w:r w:rsidR="00F47467">
        <w:rPr>
          <w:rFonts w:eastAsia="Times New Roman"/>
          <w:i/>
          <w:iCs/>
          <w:sz w:val="22"/>
          <w:szCs w:val="22"/>
          <w:lang w:val="en-GB"/>
        </w:rPr>
        <w:t>s</w:t>
      </w:r>
      <w:r w:rsidR="00DF7565" w:rsidRPr="00197963">
        <w:rPr>
          <w:rFonts w:eastAsia="Times New Roman"/>
          <w:i/>
          <w:iCs/>
          <w:sz w:val="22"/>
          <w:szCs w:val="22"/>
          <w:lang w:val="en-GB"/>
        </w:rPr>
        <w:t xml:space="preserve">. </w:t>
      </w:r>
      <w:r>
        <w:rPr>
          <w:rFonts w:eastAsia="Times New Roman"/>
          <w:i/>
          <w:iCs/>
          <w:sz w:val="22"/>
          <w:szCs w:val="22"/>
          <w:lang w:val="en-GB"/>
        </w:rPr>
        <w:t>10</w:t>
      </w:r>
      <w:r w:rsidR="00DF7565" w:rsidRPr="00197963">
        <w:rPr>
          <w:rFonts w:eastAsia="Times New Roman"/>
          <w:i/>
          <w:iCs/>
          <w:sz w:val="22"/>
          <w:szCs w:val="22"/>
          <w:lang w:val="en-GB"/>
        </w:rPr>
        <w:t xml:space="preserve"> </w:t>
      </w:r>
      <w:r w:rsidR="00F47467">
        <w:rPr>
          <w:rFonts w:eastAsia="Times New Roman"/>
          <w:i/>
          <w:iCs/>
          <w:sz w:val="22"/>
          <w:szCs w:val="22"/>
          <w:lang w:val="en-GB"/>
        </w:rPr>
        <w:t xml:space="preserve">and 11 </w:t>
      </w:r>
      <w:r w:rsidR="00DF7565" w:rsidRPr="00197963">
        <w:rPr>
          <w:rFonts w:eastAsia="Times New Roman"/>
          <w:i/>
          <w:iCs/>
          <w:sz w:val="22"/>
          <w:szCs w:val="22"/>
          <w:lang w:val="en-GB"/>
        </w:rPr>
        <w:t>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r w:rsidR="00F47467">
        <w:rPr>
          <w:rFonts w:eastAsia="Times New Roman"/>
          <w:i/>
          <w:iCs/>
          <w:sz w:val="22"/>
          <w:szCs w:val="22"/>
          <w:lang w:val="en-GB"/>
        </w:rPr>
        <w:t xml:space="preserve"> </w:t>
      </w:r>
      <w:r>
        <w:rPr>
          <w:rFonts w:eastAsia="Times New Roman"/>
          <w:i/>
          <w:iCs/>
          <w:sz w:val="22"/>
          <w:szCs w:val="22"/>
          <w:lang w:val="en-GB"/>
        </w:rPr>
        <w:t>Tenth</w:t>
      </w:r>
      <w:r w:rsidR="00197963" w:rsidRPr="00197963">
        <w:rPr>
          <w:rFonts w:eastAsia="Times New Roman"/>
          <w:i/>
          <w:iCs/>
          <w:sz w:val="22"/>
          <w:szCs w:val="22"/>
          <w:lang w:val="en-GB"/>
        </w:rPr>
        <w:t xml:space="preserve"> </w:t>
      </w:r>
      <w:r w:rsidR="00F47467">
        <w:rPr>
          <w:rFonts w:eastAsia="Times New Roman"/>
          <w:i/>
          <w:iCs/>
          <w:sz w:val="22"/>
          <w:szCs w:val="22"/>
          <w:lang w:val="en-GB"/>
        </w:rPr>
        <w:t xml:space="preserve">and Eleventh </w:t>
      </w:r>
      <w:r w:rsidR="00197963" w:rsidRPr="00197963">
        <w:rPr>
          <w:rFonts w:eastAsia="Times New Roman"/>
          <w:i/>
          <w:iCs/>
          <w:sz w:val="22"/>
          <w:szCs w:val="22"/>
          <w:lang w:val="en-GB"/>
        </w:rPr>
        <w:t>Report</w:t>
      </w:r>
      <w:r w:rsidR="00481D39">
        <w:rPr>
          <w:rFonts w:eastAsia="Times New Roman"/>
          <w:i/>
          <w:iCs/>
          <w:sz w:val="22"/>
          <w:szCs w:val="22"/>
          <w:lang w:val="en-GB"/>
        </w:rPr>
        <w:t>s</w:t>
      </w:r>
      <w:r w:rsidR="00197963" w:rsidRPr="00197963">
        <w:rPr>
          <w:rFonts w:eastAsia="Times New Roman"/>
          <w:i/>
          <w:iCs/>
          <w:sz w:val="22"/>
          <w:szCs w:val="22"/>
          <w:lang w:val="en-GB"/>
        </w:rPr>
        <w:t xml:space="preserve">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AB7E40">
      <w:pPr>
        <w:pStyle w:val="Heading2"/>
        <w:spacing w:after="180" w:line="240" w:lineRule="auto"/>
        <w:rPr>
          <w:rFonts w:eastAsia="Times New Roman"/>
          <w:sz w:val="28"/>
          <w:szCs w:val="28"/>
          <w:lang w:val="en-GB"/>
        </w:rPr>
      </w:pPr>
      <w:r>
        <w:rPr>
          <w:rFonts w:eastAsia="Times New Roman"/>
          <w:sz w:val="28"/>
          <w:szCs w:val="28"/>
          <w:lang w:val="en-GB"/>
        </w:rPr>
        <w:t>Introduction</w:t>
      </w:r>
    </w:p>
    <w:p w:rsidR="00BC53FD" w:rsidRDefault="00A96B94" w:rsidP="00AB7E40">
      <w:pPr>
        <w:spacing w:after="18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A4516C">
        <w:rPr>
          <w:sz w:val="24"/>
          <w:szCs w:val="24"/>
          <w:lang w:val="en-GB"/>
        </w:rPr>
        <w:t>’</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w:t>
      </w:r>
      <w:r w:rsidR="00A4516C">
        <w:rPr>
          <w:sz w:val="24"/>
          <w:szCs w:val="24"/>
          <w:lang w:val="en-GB"/>
        </w:rPr>
        <w:t>nal bills look to the committee’</w:t>
      </w:r>
      <w:r w:rsidR="00DF7565">
        <w:rPr>
          <w:sz w:val="24"/>
          <w:szCs w:val="24"/>
          <w:lang w:val="en-GB"/>
        </w:rPr>
        <w:t xml:space="preserve">s </w:t>
      </w:r>
      <w:hyperlink r:id="rId11" w:history="1">
        <w:r w:rsidR="00DF7565" w:rsidRPr="00F30929">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F50771" w:rsidRDefault="00DF7565" w:rsidP="00DF7565">
      <w:pPr>
        <w:pStyle w:val="Heading2"/>
        <w:spacing w:after="120" w:line="240" w:lineRule="auto"/>
        <w:rPr>
          <w:rFonts w:eastAsia="Times New Roman"/>
          <w:sz w:val="28"/>
          <w:szCs w:val="28"/>
          <w:lang w:val="en-GB"/>
        </w:rPr>
      </w:pPr>
      <w:r w:rsidRPr="00F50771">
        <w:rPr>
          <w:rFonts w:eastAsia="Times New Roman"/>
          <w:sz w:val="28"/>
          <w:szCs w:val="28"/>
          <w:lang w:val="en-GB"/>
        </w:rPr>
        <w:t>Key scrutiny issues</w:t>
      </w:r>
    </w:p>
    <w:p w:rsidR="00D92E99" w:rsidRPr="00F50771" w:rsidRDefault="00CD1C3F" w:rsidP="00CD1C3F">
      <w:pPr>
        <w:pStyle w:val="Bullet"/>
        <w:numPr>
          <w:ilvl w:val="0"/>
          <w:numId w:val="1"/>
        </w:numPr>
        <w:spacing w:after="120" w:line="240" w:lineRule="auto"/>
        <w:rPr>
          <w:i/>
          <w:iCs/>
          <w:color w:val="auto"/>
          <w:sz w:val="32"/>
          <w:szCs w:val="32"/>
          <w:lang w:val="en-GB"/>
        </w:rPr>
      </w:pPr>
      <w:r w:rsidRPr="00F50771">
        <w:rPr>
          <w:b/>
          <w:bCs/>
          <w:color w:val="auto"/>
          <w:sz w:val="24"/>
          <w:szCs w:val="24"/>
        </w:rPr>
        <w:t xml:space="preserve">Education Legislation Amendment (Overseas Debt Recovery) </w:t>
      </w:r>
      <w:r w:rsidR="00D92E99" w:rsidRPr="00F50771">
        <w:rPr>
          <w:b/>
          <w:bCs/>
          <w:color w:val="auto"/>
          <w:sz w:val="24"/>
          <w:szCs w:val="24"/>
        </w:rPr>
        <w:t xml:space="preserve">Bill </w:t>
      </w:r>
      <w:r w:rsidR="00D92E99" w:rsidRPr="00F50771">
        <w:rPr>
          <w:b/>
          <w:bCs/>
          <w:sz w:val="24"/>
          <w:szCs w:val="24"/>
        </w:rPr>
        <w:t>201</w:t>
      </w:r>
      <w:r w:rsidR="00FE3A8D" w:rsidRPr="00F50771">
        <w:rPr>
          <w:b/>
          <w:bCs/>
          <w:sz w:val="24"/>
          <w:szCs w:val="24"/>
        </w:rPr>
        <w:t>5</w:t>
      </w:r>
      <w:r w:rsidR="00D92E99" w:rsidRPr="00F50771">
        <w:rPr>
          <w:b/>
          <w:bCs/>
          <w:sz w:val="24"/>
          <w:szCs w:val="24"/>
        </w:rPr>
        <w:t xml:space="preserve"> </w:t>
      </w:r>
      <w:r w:rsidR="00F47467" w:rsidRPr="00F50771">
        <w:rPr>
          <w:rStyle w:val="Italic"/>
          <w:sz w:val="24"/>
          <w:szCs w:val="24"/>
          <w:lang w:val="en-GB"/>
        </w:rPr>
        <w:t xml:space="preserve"> </w:t>
      </w:r>
      <w:r w:rsidRPr="00F50771">
        <w:rPr>
          <w:rStyle w:val="Italic"/>
          <w:sz w:val="22"/>
          <w:szCs w:val="20"/>
          <w:lang w:val="en-GB"/>
        </w:rPr>
        <w:t>(</w:t>
      </w:r>
      <w:hyperlink r:id="rId14" w:history="1">
        <w:r w:rsidRPr="00F50771">
          <w:rPr>
            <w:rStyle w:val="Hyperlink"/>
            <w:i/>
            <w:sz w:val="22"/>
            <w:szCs w:val="20"/>
            <w:lang w:val="en-GB"/>
          </w:rPr>
          <w:t>Alert Digest No. 11 of 2015</w:t>
        </w:r>
      </w:hyperlink>
      <w:r w:rsidRPr="00F50771">
        <w:rPr>
          <w:rStyle w:val="Italic"/>
          <w:sz w:val="22"/>
          <w:szCs w:val="20"/>
          <w:lang w:val="en-GB"/>
        </w:rPr>
        <w:t>)</w:t>
      </w:r>
    </w:p>
    <w:p w:rsidR="00D92E99" w:rsidRPr="00D951B2" w:rsidRDefault="00F50771" w:rsidP="00F50771">
      <w:pPr>
        <w:pStyle w:val="Bullet"/>
        <w:numPr>
          <w:ilvl w:val="1"/>
          <w:numId w:val="1"/>
        </w:numPr>
        <w:spacing w:after="120" w:line="240" w:lineRule="auto"/>
        <w:ind w:left="851" w:hanging="425"/>
        <w:rPr>
          <w:i/>
          <w:iCs/>
          <w:sz w:val="22"/>
          <w:szCs w:val="22"/>
          <w:lang w:val="en-GB"/>
        </w:rPr>
      </w:pPr>
      <w:r w:rsidRPr="00F50771">
        <w:rPr>
          <w:iCs/>
          <w:sz w:val="22"/>
          <w:szCs w:val="22"/>
          <w:u w:val="single"/>
          <w:lang w:val="en-GB"/>
        </w:rPr>
        <w:t>P</w:t>
      </w:r>
      <w:r w:rsidR="00B76A32" w:rsidRPr="00F50771">
        <w:rPr>
          <w:iCs/>
          <w:sz w:val="22"/>
          <w:szCs w:val="22"/>
          <w:u w:val="single"/>
          <w:lang w:val="en-GB"/>
        </w:rPr>
        <w:t>rivacy</w:t>
      </w:r>
      <w:r w:rsidRPr="00F50771">
        <w:rPr>
          <w:iCs/>
          <w:sz w:val="22"/>
          <w:szCs w:val="22"/>
          <w:lang w:val="en-GB"/>
        </w:rPr>
        <w:t>:</w:t>
      </w:r>
      <w:r w:rsidR="007D3171">
        <w:rPr>
          <w:iCs/>
          <w:sz w:val="22"/>
          <w:szCs w:val="22"/>
          <w:lang w:val="en-GB"/>
        </w:rPr>
        <w:t xml:space="preserve"> </w:t>
      </w:r>
      <w:r w:rsidRPr="00F50771">
        <w:rPr>
          <w:iCs/>
          <w:sz w:val="22"/>
          <w:szCs w:val="22"/>
          <w:lang w:val="en-GB"/>
        </w:rPr>
        <w:t xml:space="preserve"> The bill provides that a taxation officer may disclose personal information to a foreign government agency or associated entity for the purposes of contacting the person with a view to recovering outstanding student loans. </w:t>
      </w:r>
      <w:r w:rsidRPr="00F50771">
        <w:rPr>
          <w:iCs/>
          <w:sz w:val="22"/>
          <w:szCs w:val="22"/>
          <w:u w:val="single"/>
          <w:lang w:val="en-GB"/>
        </w:rPr>
        <w:t xml:space="preserve">The committee noted scrutiny concerns that relate to privacy, </w:t>
      </w:r>
      <w:r w:rsidRPr="00D951B2">
        <w:rPr>
          <w:iCs/>
          <w:sz w:val="22"/>
          <w:szCs w:val="22"/>
          <w:u w:val="single"/>
          <w:lang w:val="en-GB"/>
        </w:rPr>
        <w:t>but in light of the detailed explanation left the matter to the Senate</w:t>
      </w:r>
      <w:r w:rsidRPr="00D951B2">
        <w:rPr>
          <w:iCs/>
          <w:sz w:val="22"/>
          <w:szCs w:val="22"/>
          <w:lang w:val="en-GB"/>
        </w:rPr>
        <w:t>.</w:t>
      </w:r>
    </w:p>
    <w:p w:rsidR="00FE3A8D" w:rsidRPr="00D951B2" w:rsidRDefault="009436BA" w:rsidP="009436BA">
      <w:pPr>
        <w:pStyle w:val="Bullet"/>
        <w:numPr>
          <w:ilvl w:val="0"/>
          <w:numId w:val="1"/>
        </w:numPr>
        <w:spacing w:after="120" w:line="240" w:lineRule="auto"/>
        <w:rPr>
          <w:i/>
          <w:iCs/>
          <w:color w:val="auto"/>
          <w:sz w:val="32"/>
          <w:szCs w:val="32"/>
          <w:lang w:val="en-GB"/>
        </w:rPr>
      </w:pPr>
      <w:r w:rsidRPr="00D951B2">
        <w:rPr>
          <w:b/>
          <w:bCs/>
          <w:color w:val="auto"/>
          <w:sz w:val="24"/>
          <w:szCs w:val="24"/>
        </w:rPr>
        <w:t xml:space="preserve">Environment Protection and Biodiversity Conservation Amendment (Standing) </w:t>
      </w:r>
      <w:r w:rsidR="00FE3A8D" w:rsidRPr="00D951B2">
        <w:rPr>
          <w:b/>
          <w:bCs/>
          <w:color w:val="auto"/>
          <w:sz w:val="24"/>
          <w:szCs w:val="24"/>
        </w:rPr>
        <w:t xml:space="preserve">Bill </w:t>
      </w:r>
      <w:r w:rsidR="00FE3A8D" w:rsidRPr="00D951B2">
        <w:rPr>
          <w:b/>
          <w:bCs/>
          <w:sz w:val="24"/>
          <w:szCs w:val="24"/>
        </w:rPr>
        <w:t>2015</w:t>
      </w:r>
      <w:r w:rsidRPr="00D951B2">
        <w:rPr>
          <w:b/>
          <w:bCs/>
          <w:sz w:val="24"/>
          <w:szCs w:val="24"/>
        </w:rPr>
        <w:t xml:space="preserve"> </w:t>
      </w:r>
      <w:r w:rsidRPr="00D951B2">
        <w:rPr>
          <w:rStyle w:val="Italic"/>
          <w:rFonts w:eastAsia="Times New Roman"/>
          <w:color w:val="auto"/>
          <w:sz w:val="22"/>
          <w:szCs w:val="22"/>
          <w:lang w:val="en-GB"/>
        </w:rPr>
        <w:t>(</w:t>
      </w:r>
      <w:hyperlink r:id="rId15" w:history="1">
        <w:r w:rsidRPr="00D951B2">
          <w:rPr>
            <w:rStyle w:val="Hyperlink"/>
            <w:rFonts w:eastAsia="Times New Roman"/>
            <w:i/>
            <w:sz w:val="22"/>
            <w:szCs w:val="22"/>
            <w:lang w:val="en-GB"/>
          </w:rPr>
          <w:t>Eleventh Report of 2015</w:t>
        </w:r>
      </w:hyperlink>
      <w:r w:rsidRPr="00D951B2">
        <w:rPr>
          <w:rStyle w:val="Italic"/>
          <w:rFonts w:eastAsia="Times New Roman"/>
          <w:color w:val="auto"/>
          <w:sz w:val="22"/>
          <w:szCs w:val="22"/>
          <w:lang w:val="en-GB"/>
        </w:rPr>
        <w:t>)</w:t>
      </w:r>
    </w:p>
    <w:p w:rsidR="00FE3A8D" w:rsidRPr="00D951B2" w:rsidRDefault="00FF7DFD" w:rsidP="00F50771">
      <w:pPr>
        <w:pStyle w:val="Bullet"/>
        <w:numPr>
          <w:ilvl w:val="1"/>
          <w:numId w:val="1"/>
        </w:numPr>
        <w:spacing w:after="120" w:line="240" w:lineRule="auto"/>
        <w:ind w:left="851" w:hanging="425"/>
        <w:rPr>
          <w:i/>
          <w:iCs/>
          <w:sz w:val="22"/>
          <w:szCs w:val="22"/>
          <w:lang w:val="en-GB"/>
        </w:rPr>
      </w:pPr>
      <w:r w:rsidRPr="00D951B2">
        <w:rPr>
          <w:iCs/>
          <w:sz w:val="22"/>
          <w:szCs w:val="22"/>
          <w:u w:val="single"/>
          <w:lang w:val="en-GB"/>
        </w:rPr>
        <w:t>Limitation on standing to seek judicial review</w:t>
      </w:r>
      <w:r w:rsidRPr="00D951B2">
        <w:rPr>
          <w:iCs/>
          <w:sz w:val="22"/>
          <w:szCs w:val="22"/>
          <w:lang w:val="en-GB"/>
        </w:rPr>
        <w:t xml:space="preserve">: </w:t>
      </w:r>
      <w:r w:rsidR="00FE3A8D" w:rsidRPr="00D951B2">
        <w:rPr>
          <w:iCs/>
          <w:sz w:val="22"/>
          <w:szCs w:val="22"/>
          <w:lang w:val="en-GB"/>
        </w:rPr>
        <w:t xml:space="preserve"> </w:t>
      </w:r>
      <w:r w:rsidRPr="00D951B2">
        <w:rPr>
          <w:iCs/>
          <w:sz w:val="22"/>
          <w:szCs w:val="22"/>
          <w:lang w:val="en-GB"/>
        </w:rPr>
        <w:t>The committee expressed its continuing scrutiny concern that the practical effect of this bill is to limit the availability of judicial review in the absence of sufficient justification for that outcome.</w:t>
      </w:r>
    </w:p>
    <w:p w:rsidR="00FE3A8D" w:rsidRPr="002C18F9" w:rsidRDefault="009436BA" w:rsidP="009436BA">
      <w:pPr>
        <w:pStyle w:val="Bullet"/>
        <w:numPr>
          <w:ilvl w:val="0"/>
          <w:numId w:val="1"/>
        </w:numPr>
        <w:spacing w:after="120" w:line="240" w:lineRule="auto"/>
        <w:rPr>
          <w:i/>
          <w:iCs/>
          <w:color w:val="auto"/>
          <w:sz w:val="32"/>
          <w:szCs w:val="32"/>
          <w:lang w:val="en-GB"/>
        </w:rPr>
      </w:pPr>
      <w:r w:rsidRPr="00D951B2">
        <w:rPr>
          <w:b/>
          <w:bCs/>
          <w:color w:val="auto"/>
          <w:sz w:val="24"/>
          <w:szCs w:val="24"/>
        </w:rPr>
        <w:t xml:space="preserve">Foreign Acquisitions and </w:t>
      </w:r>
      <w:r w:rsidRPr="002C18F9">
        <w:rPr>
          <w:b/>
          <w:bCs/>
          <w:color w:val="auto"/>
          <w:sz w:val="24"/>
          <w:szCs w:val="24"/>
        </w:rPr>
        <w:t xml:space="preserve">Takeovers Legislation Amendment </w:t>
      </w:r>
      <w:r w:rsidR="00FE3A8D" w:rsidRPr="002C18F9">
        <w:rPr>
          <w:b/>
          <w:bCs/>
          <w:color w:val="auto"/>
          <w:sz w:val="24"/>
          <w:szCs w:val="24"/>
        </w:rPr>
        <w:t xml:space="preserve">Bill </w:t>
      </w:r>
      <w:r w:rsidR="00FE3A8D" w:rsidRPr="002C18F9">
        <w:rPr>
          <w:b/>
          <w:bCs/>
          <w:sz w:val="24"/>
          <w:szCs w:val="24"/>
        </w:rPr>
        <w:t xml:space="preserve">2015 </w:t>
      </w:r>
      <w:r w:rsidRPr="002C18F9">
        <w:rPr>
          <w:rStyle w:val="Italic"/>
          <w:rFonts w:eastAsia="Times New Roman"/>
          <w:color w:val="auto"/>
          <w:sz w:val="22"/>
          <w:szCs w:val="22"/>
          <w:lang w:val="en-GB"/>
        </w:rPr>
        <w:t>(</w:t>
      </w:r>
      <w:hyperlink r:id="rId16" w:history="1">
        <w:r w:rsidRPr="002C18F9">
          <w:rPr>
            <w:rStyle w:val="Hyperlink"/>
            <w:rFonts w:eastAsia="Times New Roman"/>
            <w:i/>
            <w:sz w:val="22"/>
            <w:szCs w:val="22"/>
            <w:lang w:val="en-GB"/>
          </w:rPr>
          <w:t>Eleventh Report of 2015</w:t>
        </w:r>
      </w:hyperlink>
      <w:r w:rsidRPr="002C18F9">
        <w:rPr>
          <w:rStyle w:val="Italic"/>
          <w:rFonts w:eastAsia="Times New Roman"/>
          <w:color w:val="auto"/>
          <w:sz w:val="22"/>
          <w:szCs w:val="22"/>
          <w:lang w:val="en-GB"/>
        </w:rPr>
        <w:t>)</w:t>
      </w:r>
    </w:p>
    <w:p w:rsidR="001C229D" w:rsidRPr="002C18F9" w:rsidRDefault="00A64F83" w:rsidP="00F50771">
      <w:pPr>
        <w:pStyle w:val="Bullet"/>
        <w:numPr>
          <w:ilvl w:val="1"/>
          <w:numId w:val="1"/>
        </w:numPr>
        <w:spacing w:after="120" w:line="240" w:lineRule="auto"/>
        <w:ind w:left="851" w:hanging="425"/>
        <w:rPr>
          <w:i/>
          <w:iCs/>
          <w:sz w:val="22"/>
          <w:szCs w:val="22"/>
          <w:lang w:val="en-GB"/>
        </w:rPr>
      </w:pPr>
      <w:r w:rsidRPr="002C18F9">
        <w:rPr>
          <w:iCs/>
          <w:sz w:val="22"/>
          <w:szCs w:val="22"/>
          <w:u w:val="single"/>
          <w:lang w:val="en-GB"/>
        </w:rPr>
        <w:t>Delegation of legislative power</w:t>
      </w:r>
      <w:r w:rsidRPr="002C18F9">
        <w:rPr>
          <w:iCs/>
          <w:sz w:val="22"/>
          <w:szCs w:val="22"/>
          <w:lang w:val="en-GB"/>
        </w:rPr>
        <w:t xml:space="preserve">: </w:t>
      </w:r>
      <w:r w:rsidR="007D3171" w:rsidRPr="002C18F9">
        <w:rPr>
          <w:iCs/>
          <w:sz w:val="22"/>
          <w:szCs w:val="22"/>
          <w:lang w:val="en-GB"/>
        </w:rPr>
        <w:t xml:space="preserve"> </w:t>
      </w:r>
      <w:r w:rsidR="001C229D" w:rsidRPr="002C18F9">
        <w:rPr>
          <w:iCs/>
          <w:sz w:val="22"/>
          <w:szCs w:val="22"/>
          <w:lang w:val="en-GB"/>
        </w:rPr>
        <w:t xml:space="preserve">This bill will allow regulations to specify (1) </w:t>
      </w:r>
      <w:r w:rsidR="002C18F9" w:rsidRPr="002C18F9">
        <w:rPr>
          <w:iCs/>
          <w:sz w:val="22"/>
          <w:szCs w:val="22"/>
          <w:lang w:val="en-GB"/>
        </w:rPr>
        <w:t xml:space="preserve">what actions constitute a ‘significant action’ or a ‘notifiable action’ </w:t>
      </w:r>
      <w:r w:rsidR="001C229D" w:rsidRPr="002C18F9">
        <w:rPr>
          <w:iCs/>
          <w:sz w:val="22"/>
          <w:szCs w:val="22"/>
          <w:lang w:val="en-GB"/>
        </w:rPr>
        <w:t xml:space="preserve">and (2) </w:t>
      </w:r>
      <w:r w:rsidR="002C18F9" w:rsidRPr="002C18F9">
        <w:rPr>
          <w:iCs/>
          <w:sz w:val="22"/>
          <w:szCs w:val="22"/>
          <w:lang w:val="en-GB"/>
        </w:rPr>
        <w:t>important exemptions to the operation of the Act</w:t>
      </w:r>
      <w:r w:rsidR="001C229D" w:rsidRPr="002C18F9">
        <w:rPr>
          <w:iCs/>
          <w:sz w:val="22"/>
          <w:szCs w:val="22"/>
          <w:lang w:val="en-GB"/>
        </w:rPr>
        <w:t xml:space="preserve">. </w:t>
      </w:r>
    </w:p>
    <w:p w:rsidR="00C10355" w:rsidRPr="002C18F9" w:rsidRDefault="00C10355" w:rsidP="001C229D">
      <w:pPr>
        <w:pStyle w:val="Bullet"/>
        <w:numPr>
          <w:ilvl w:val="2"/>
          <w:numId w:val="1"/>
        </w:numPr>
        <w:spacing w:after="120" w:line="240" w:lineRule="auto"/>
        <w:ind w:left="1418" w:hanging="284"/>
        <w:rPr>
          <w:i/>
          <w:iCs/>
          <w:sz w:val="22"/>
          <w:szCs w:val="22"/>
          <w:lang w:val="en-GB"/>
        </w:rPr>
      </w:pPr>
      <w:r w:rsidRPr="002C18F9">
        <w:rPr>
          <w:iCs/>
          <w:sz w:val="22"/>
          <w:szCs w:val="22"/>
          <w:lang w:val="en-GB"/>
        </w:rPr>
        <w:t xml:space="preserve">In relation to the </w:t>
      </w:r>
      <w:r w:rsidR="002C18F9" w:rsidRPr="002C18F9">
        <w:rPr>
          <w:iCs/>
          <w:sz w:val="22"/>
          <w:szCs w:val="22"/>
          <w:lang w:val="en-GB"/>
        </w:rPr>
        <w:t>first</w:t>
      </w:r>
      <w:r w:rsidRPr="002C18F9">
        <w:rPr>
          <w:iCs/>
          <w:sz w:val="22"/>
          <w:szCs w:val="22"/>
          <w:lang w:val="en-GB"/>
        </w:rPr>
        <w:t xml:space="preserve"> set of regulation-making powers, the committee noted the significant consequences that may apply when an action is declared to be a ‘significant action’ or a ‘notifiable action’ (including civil and criminal penalties and orders requiring the disposal of an interest) and is therefore </w:t>
      </w:r>
      <w:r w:rsidRPr="002C18F9">
        <w:rPr>
          <w:iCs/>
          <w:sz w:val="22"/>
          <w:szCs w:val="22"/>
          <w:u w:val="single"/>
          <w:lang w:val="en-GB"/>
        </w:rPr>
        <w:t>seeking further advice from the Treasurer (including examples of situations where it would be necessary to utilise these proposed regulation-making powers rather than bringing forward an amendment to the primary legislation and whether the disallowance process for these regulations can be amended to increase Parliamentary oversight</w:t>
      </w:r>
      <w:r w:rsidR="00AB7E40">
        <w:rPr>
          <w:iCs/>
          <w:sz w:val="22"/>
          <w:szCs w:val="22"/>
          <w:u w:val="single"/>
          <w:lang w:val="en-GB"/>
        </w:rPr>
        <w:t>)</w:t>
      </w:r>
      <w:r w:rsidRPr="002C18F9">
        <w:rPr>
          <w:iCs/>
          <w:sz w:val="22"/>
          <w:szCs w:val="22"/>
          <w:lang w:val="en-GB"/>
        </w:rPr>
        <w:t>.</w:t>
      </w:r>
    </w:p>
    <w:p w:rsidR="002C18F9" w:rsidRPr="002C18F9" w:rsidRDefault="002C18F9" w:rsidP="002C18F9">
      <w:pPr>
        <w:pStyle w:val="Bullet"/>
        <w:numPr>
          <w:ilvl w:val="2"/>
          <w:numId w:val="1"/>
        </w:numPr>
        <w:spacing w:after="120" w:line="240" w:lineRule="auto"/>
        <w:ind w:left="1418" w:hanging="284"/>
        <w:rPr>
          <w:i/>
          <w:iCs/>
          <w:sz w:val="22"/>
          <w:szCs w:val="22"/>
          <w:lang w:val="en-GB"/>
        </w:rPr>
      </w:pPr>
      <w:r w:rsidRPr="002C18F9">
        <w:rPr>
          <w:iCs/>
          <w:sz w:val="22"/>
          <w:szCs w:val="22"/>
          <w:lang w:val="en-GB"/>
        </w:rPr>
        <w:t xml:space="preserve">In relation to the second regulation-making power, the committee noted that a desire to reduce the complexity of the primary legislation (by moving all exemptions to the regulations) is commendable, however this, of itself, is not sufficient justification for reducing Parliamentary scrutiny by providing for important matters to be included in regulations. </w:t>
      </w:r>
      <w:r w:rsidRPr="002C18F9">
        <w:rPr>
          <w:iCs/>
          <w:sz w:val="22"/>
          <w:szCs w:val="22"/>
          <w:u w:val="single"/>
          <w:lang w:val="en-GB"/>
        </w:rPr>
        <w:t>The committee draws this delegation of legislative power to the attention of Senators and leaves the matter to the Senate as a whole</w:t>
      </w:r>
      <w:r w:rsidRPr="002C18F9">
        <w:rPr>
          <w:iCs/>
          <w:sz w:val="22"/>
          <w:szCs w:val="22"/>
          <w:lang w:val="en-GB"/>
        </w:rPr>
        <w:t>.</w:t>
      </w:r>
    </w:p>
    <w:p w:rsidR="00D92E99" w:rsidRPr="00AF477B" w:rsidRDefault="00CD1C3F" w:rsidP="00CD1C3F">
      <w:pPr>
        <w:pStyle w:val="Bullet"/>
        <w:numPr>
          <w:ilvl w:val="0"/>
          <w:numId w:val="1"/>
        </w:numPr>
        <w:spacing w:after="120" w:line="240" w:lineRule="auto"/>
        <w:rPr>
          <w:i/>
          <w:iCs/>
          <w:color w:val="auto"/>
          <w:sz w:val="32"/>
          <w:szCs w:val="32"/>
          <w:lang w:val="en-GB"/>
        </w:rPr>
      </w:pPr>
      <w:r w:rsidRPr="00AF477B">
        <w:rPr>
          <w:b/>
          <w:bCs/>
          <w:color w:val="auto"/>
          <w:sz w:val="24"/>
          <w:szCs w:val="24"/>
        </w:rPr>
        <w:lastRenderedPageBreak/>
        <w:t xml:space="preserve">Health Legislation Amendment (eHealth) </w:t>
      </w:r>
      <w:r w:rsidR="00D92E99" w:rsidRPr="00AF477B">
        <w:rPr>
          <w:b/>
          <w:bCs/>
          <w:color w:val="auto"/>
          <w:sz w:val="24"/>
          <w:szCs w:val="24"/>
        </w:rPr>
        <w:t xml:space="preserve">Bill </w:t>
      </w:r>
      <w:r w:rsidR="00D92E99" w:rsidRPr="00AF477B">
        <w:rPr>
          <w:b/>
          <w:bCs/>
          <w:sz w:val="24"/>
          <w:szCs w:val="24"/>
        </w:rPr>
        <w:t>201</w:t>
      </w:r>
      <w:r w:rsidR="00F30929" w:rsidRPr="00AF477B">
        <w:rPr>
          <w:b/>
          <w:bCs/>
          <w:sz w:val="24"/>
          <w:szCs w:val="24"/>
        </w:rPr>
        <w:t>5</w:t>
      </w:r>
      <w:r w:rsidR="00757F9C" w:rsidRPr="00AF477B">
        <w:rPr>
          <w:b/>
          <w:bCs/>
          <w:sz w:val="24"/>
          <w:szCs w:val="24"/>
        </w:rPr>
        <w:t xml:space="preserve"> </w:t>
      </w:r>
      <w:r w:rsidRPr="00AF477B">
        <w:rPr>
          <w:rStyle w:val="Italic"/>
          <w:sz w:val="22"/>
          <w:szCs w:val="22"/>
          <w:lang w:val="en-GB"/>
        </w:rPr>
        <w:t>(</w:t>
      </w:r>
      <w:hyperlink r:id="rId17" w:history="1">
        <w:r w:rsidRPr="00AF477B">
          <w:rPr>
            <w:rStyle w:val="Hyperlink"/>
            <w:i/>
            <w:sz w:val="22"/>
            <w:szCs w:val="22"/>
            <w:lang w:val="en-GB"/>
          </w:rPr>
          <w:t>Alert Digest No. 11 of 2015</w:t>
        </w:r>
      </w:hyperlink>
      <w:r w:rsidRPr="00AF477B">
        <w:rPr>
          <w:rStyle w:val="Italic"/>
          <w:sz w:val="22"/>
          <w:szCs w:val="22"/>
          <w:lang w:val="en-GB"/>
        </w:rPr>
        <w:t>)</w:t>
      </w:r>
    </w:p>
    <w:p w:rsidR="00B23221" w:rsidRPr="00AF477B" w:rsidRDefault="00AF477B" w:rsidP="00D951B2">
      <w:pPr>
        <w:pStyle w:val="Bullet"/>
        <w:keepNext/>
        <w:numPr>
          <w:ilvl w:val="1"/>
          <w:numId w:val="1"/>
        </w:numPr>
        <w:spacing w:after="120" w:line="240" w:lineRule="auto"/>
        <w:ind w:left="850" w:hanging="425"/>
        <w:rPr>
          <w:i/>
          <w:iCs/>
          <w:sz w:val="22"/>
          <w:szCs w:val="22"/>
          <w:lang w:val="en-GB"/>
        </w:rPr>
      </w:pPr>
      <w:r>
        <w:rPr>
          <w:iCs/>
          <w:sz w:val="22"/>
          <w:szCs w:val="22"/>
          <w:u w:val="single"/>
          <w:lang w:val="en-GB"/>
        </w:rPr>
        <w:t>Delegation of legislative power</w:t>
      </w:r>
      <w:r>
        <w:rPr>
          <w:iCs/>
          <w:sz w:val="22"/>
          <w:szCs w:val="22"/>
          <w:lang w:val="en-GB"/>
        </w:rPr>
        <w:t>:</w:t>
      </w:r>
      <w:r w:rsidR="007D3171">
        <w:rPr>
          <w:iCs/>
          <w:sz w:val="22"/>
          <w:szCs w:val="22"/>
          <w:lang w:val="en-GB"/>
        </w:rPr>
        <w:t xml:space="preserve"> </w:t>
      </w:r>
      <w:r>
        <w:rPr>
          <w:iCs/>
          <w:sz w:val="22"/>
          <w:szCs w:val="22"/>
          <w:lang w:val="en-GB"/>
        </w:rPr>
        <w:t xml:space="preserve"> </w:t>
      </w:r>
      <w:r w:rsidR="00F21A88">
        <w:rPr>
          <w:iCs/>
          <w:sz w:val="22"/>
          <w:szCs w:val="22"/>
          <w:lang w:val="en-GB"/>
        </w:rPr>
        <w:t xml:space="preserve">The bill is seeking to delegate </w:t>
      </w:r>
      <w:r w:rsidRPr="00AF477B">
        <w:rPr>
          <w:iCs/>
          <w:sz w:val="22"/>
          <w:szCs w:val="22"/>
          <w:lang w:val="en-GB"/>
        </w:rPr>
        <w:t xml:space="preserve">significant powers to the Minister which will include the power to initiate the change from the current </w:t>
      </w:r>
      <w:r w:rsidRPr="00F21A88">
        <w:rPr>
          <w:b/>
          <w:iCs/>
          <w:sz w:val="22"/>
          <w:szCs w:val="22"/>
          <w:lang w:val="en-GB"/>
        </w:rPr>
        <w:t>opt-in</w:t>
      </w:r>
      <w:r w:rsidRPr="00AF477B">
        <w:rPr>
          <w:iCs/>
          <w:sz w:val="22"/>
          <w:szCs w:val="22"/>
          <w:lang w:val="en-GB"/>
        </w:rPr>
        <w:t xml:space="preserve"> My Health Record system to an </w:t>
      </w:r>
      <w:r w:rsidRPr="00F21A88">
        <w:rPr>
          <w:b/>
          <w:iCs/>
          <w:sz w:val="22"/>
          <w:szCs w:val="22"/>
          <w:lang w:val="en-GB"/>
        </w:rPr>
        <w:t>opt-out</w:t>
      </w:r>
      <w:r w:rsidRPr="00AF477B">
        <w:rPr>
          <w:iCs/>
          <w:sz w:val="22"/>
          <w:szCs w:val="22"/>
          <w:lang w:val="en-GB"/>
        </w:rPr>
        <w:t xml:space="preserve"> system; and also to facilitate trials for an </w:t>
      </w:r>
      <w:r w:rsidRPr="00F21A88">
        <w:rPr>
          <w:iCs/>
          <w:sz w:val="22"/>
          <w:szCs w:val="22"/>
          <w:lang w:val="en-GB"/>
        </w:rPr>
        <w:t>opt-out</w:t>
      </w:r>
      <w:r w:rsidRPr="00AF477B">
        <w:rPr>
          <w:iCs/>
          <w:sz w:val="22"/>
          <w:szCs w:val="22"/>
          <w:lang w:val="en-GB"/>
        </w:rPr>
        <w:t xml:space="preserve"> system. It is suggested a general change to an opt-out system is central to the regulatory design of the system </w:t>
      </w:r>
      <w:r w:rsidRPr="00F21A88">
        <w:rPr>
          <w:iCs/>
          <w:sz w:val="22"/>
          <w:szCs w:val="22"/>
          <w:lang w:val="en-GB"/>
        </w:rPr>
        <w:t xml:space="preserve">and </w:t>
      </w:r>
      <w:r w:rsidRPr="00F21A88">
        <w:rPr>
          <w:iCs/>
          <w:sz w:val="22"/>
          <w:szCs w:val="22"/>
          <w:u w:val="single"/>
          <w:lang w:val="en-GB"/>
        </w:rPr>
        <w:t>is a choice which is appropriately made by the Parliament rather than delegated to a Minister. The committee has therefore sought further advice from the Minister as to why the proposed approach is appropriate</w:t>
      </w:r>
      <w:r>
        <w:rPr>
          <w:iCs/>
          <w:sz w:val="22"/>
          <w:szCs w:val="22"/>
          <w:lang w:val="en-GB"/>
        </w:rPr>
        <w:t>.</w:t>
      </w:r>
    </w:p>
    <w:p w:rsidR="00AF477B" w:rsidRPr="00AF477B" w:rsidRDefault="00AF477B" w:rsidP="00AF477B">
      <w:pPr>
        <w:pStyle w:val="Bullet"/>
        <w:numPr>
          <w:ilvl w:val="1"/>
          <w:numId w:val="1"/>
        </w:numPr>
        <w:spacing w:after="120" w:line="240" w:lineRule="auto"/>
        <w:ind w:left="851" w:hanging="425"/>
        <w:rPr>
          <w:i/>
          <w:iCs/>
          <w:sz w:val="22"/>
          <w:szCs w:val="22"/>
          <w:lang w:val="en-GB"/>
        </w:rPr>
      </w:pPr>
      <w:r w:rsidRPr="00AF477B">
        <w:rPr>
          <w:iCs/>
          <w:sz w:val="22"/>
          <w:szCs w:val="22"/>
          <w:u w:val="single"/>
          <w:lang w:val="en-GB"/>
        </w:rPr>
        <w:t>Delegation of legislative power and privacy</w:t>
      </w:r>
      <w:r>
        <w:rPr>
          <w:iCs/>
          <w:sz w:val="22"/>
          <w:szCs w:val="22"/>
          <w:lang w:val="en-GB"/>
        </w:rPr>
        <w:t>:</w:t>
      </w:r>
      <w:r w:rsidR="007D3171">
        <w:rPr>
          <w:iCs/>
          <w:sz w:val="22"/>
          <w:szCs w:val="22"/>
          <w:lang w:val="en-GB"/>
        </w:rPr>
        <w:t xml:space="preserve"> </w:t>
      </w:r>
      <w:r>
        <w:rPr>
          <w:iCs/>
          <w:sz w:val="22"/>
          <w:szCs w:val="22"/>
          <w:lang w:val="en-GB"/>
        </w:rPr>
        <w:t xml:space="preserve"> </w:t>
      </w:r>
      <w:r w:rsidR="00F21A88">
        <w:rPr>
          <w:iCs/>
          <w:sz w:val="22"/>
          <w:szCs w:val="22"/>
          <w:lang w:val="en-GB"/>
        </w:rPr>
        <w:t>T</w:t>
      </w:r>
      <w:r w:rsidRPr="00AF477B">
        <w:rPr>
          <w:iCs/>
          <w:sz w:val="22"/>
          <w:szCs w:val="22"/>
          <w:lang w:val="en-GB"/>
        </w:rPr>
        <w:t xml:space="preserve">he bill also allows prescribed entities to collect, use and disclose identifying information and healthcare identifiers for limited purposes relating to healthcare or support for health issues. The committee noted </w:t>
      </w:r>
      <w:r w:rsidRPr="00AB7E40">
        <w:rPr>
          <w:iCs/>
          <w:sz w:val="22"/>
          <w:szCs w:val="22"/>
          <w:u w:val="single"/>
          <w:lang w:val="en-GB"/>
        </w:rPr>
        <w:t>scrutiny concerns that relate to privacy</w:t>
      </w:r>
      <w:r w:rsidRPr="00AF477B">
        <w:rPr>
          <w:iCs/>
          <w:sz w:val="22"/>
          <w:szCs w:val="22"/>
          <w:lang w:val="en-GB"/>
        </w:rPr>
        <w:t>, but in light of the detailed explanation left this matter to the Senate</w:t>
      </w:r>
      <w:r>
        <w:rPr>
          <w:iCs/>
          <w:sz w:val="22"/>
          <w:szCs w:val="22"/>
          <w:lang w:val="en-GB"/>
        </w:rPr>
        <w:t>.</w:t>
      </w:r>
    </w:p>
    <w:p w:rsidR="00AF477B" w:rsidRPr="00511B11" w:rsidRDefault="00AF477B" w:rsidP="00AF477B">
      <w:pPr>
        <w:pStyle w:val="Bullet"/>
        <w:numPr>
          <w:ilvl w:val="1"/>
          <w:numId w:val="1"/>
        </w:numPr>
        <w:spacing w:after="120" w:line="240" w:lineRule="auto"/>
        <w:ind w:left="851" w:hanging="425"/>
        <w:rPr>
          <w:i/>
          <w:iCs/>
          <w:sz w:val="22"/>
          <w:szCs w:val="22"/>
          <w:lang w:val="en-GB"/>
        </w:rPr>
      </w:pPr>
      <w:r w:rsidRPr="00AF477B">
        <w:rPr>
          <w:iCs/>
          <w:sz w:val="22"/>
          <w:szCs w:val="22"/>
          <w:u w:val="single"/>
          <w:lang w:val="en-GB"/>
        </w:rPr>
        <w:t>Various</w:t>
      </w:r>
      <w:r w:rsidR="007D3171">
        <w:rPr>
          <w:iCs/>
          <w:sz w:val="22"/>
          <w:szCs w:val="22"/>
          <w:u w:val="single"/>
          <w:lang w:val="en-GB"/>
        </w:rPr>
        <w:t xml:space="preserve"> matters</w:t>
      </w:r>
      <w:r>
        <w:rPr>
          <w:iCs/>
          <w:sz w:val="22"/>
          <w:szCs w:val="22"/>
          <w:lang w:val="en-GB"/>
        </w:rPr>
        <w:t xml:space="preserve">: </w:t>
      </w:r>
      <w:r w:rsidR="007D3171">
        <w:rPr>
          <w:iCs/>
          <w:sz w:val="22"/>
          <w:szCs w:val="22"/>
          <w:lang w:val="en-GB"/>
        </w:rPr>
        <w:t xml:space="preserve"> </w:t>
      </w:r>
      <w:r w:rsidR="00F21A88">
        <w:rPr>
          <w:iCs/>
          <w:sz w:val="22"/>
          <w:szCs w:val="22"/>
          <w:lang w:val="en-GB"/>
        </w:rPr>
        <w:t>T</w:t>
      </w:r>
      <w:r w:rsidRPr="00AF477B">
        <w:rPr>
          <w:iCs/>
          <w:sz w:val="22"/>
          <w:szCs w:val="22"/>
          <w:lang w:val="en-GB"/>
        </w:rPr>
        <w:t xml:space="preserve">he committee has also sought advice about the justification for </w:t>
      </w:r>
      <w:r w:rsidR="00EA126F" w:rsidRPr="00E02F9B">
        <w:rPr>
          <w:iCs/>
          <w:sz w:val="22"/>
          <w:szCs w:val="22"/>
          <w:u w:val="single"/>
          <w:lang w:val="en-GB"/>
        </w:rPr>
        <w:t>placing an evidential burden on</w:t>
      </w:r>
      <w:r w:rsidRPr="005E1A38">
        <w:rPr>
          <w:iCs/>
          <w:sz w:val="22"/>
          <w:szCs w:val="22"/>
          <w:u w:val="single"/>
          <w:lang w:val="en-GB"/>
        </w:rPr>
        <w:t xml:space="preserve"> the defendant</w:t>
      </w:r>
      <w:r w:rsidRPr="00AF477B">
        <w:rPr>
          <w:iCs/>
          <w:sz w:val="22"/>
          <w:szCs w:val="22"/>
          <w:lang w:val="en-GB"/>
        </w:rPr>
        <w:t xml:space="preserve"> in relation to the use or disclosure of a healthcare identifier; whether </w:t>
      </w:r>
      <w:r w:rsidRPr="005E1A38">
        <w:rPr>
          <w:iCs/>
          <w:sz w:val="22"/>
          <w:szCs w:val="22"/>
          <w:u w:val="single"/>
          <w:lang w:val="en-GB"/>
        </w:rPr>
        <w:t>material being incorporated by reference</w:t>
      </w:r>
      <w:r w:rsidRPr="00AF477B">
        <w:rPr>
          <w:iCs/>
          <w:sz w:val="22"/>
          <w:szCs w:val="22"/>
          <w:lang w:val="en-GB"/>
        </w:rPr>
        <w:t xml:space="preserve"> will be readily and freely available; and the </w:t>
      </w:r>
      <w:r w:rsidRPr="00511B11">
        <w:rPr>
          <w:iCs/>
          <w:sz w:val="22"/>
          <w:szCs w:val="22"/>
          <w:lang w:val="en-GB"/>
        </w:rPr>
        <w:t>need for delegated legislation to modify the operation of primary legislation (</w:t>
      </w:r>
      <w:r w:rsidRPr="00511B11">
        <w:rPr>
          <w:iCs/>
          <w:sz w:val="22"/>
          <w:szCs w:val="22"/>
          <w:u w:val="single"/>
          <w:lang w:val="en-GB"/>
        </w:rPr>
        <w:t>Henry VIII clause</w:t>
      </w:r>
      <w:r w:rsidRPr="00511B11">
        <w:rPr>
          <w:iCs/>
          <w:sz w:val="22"/>
          <w:szCs w:val="22"/>
          <w:lang w:val="en-GB"/>
        </w:rPr>
        <w:t>).</w:t>
      </w:r>
    </w:p>
    <w:p w:rsidR="00D92E99" w:rsidRPr="00511B11" w:rsidRDefault="00CD1C3F" w:rsidP="00CD1C3F">
      <w:pPr>
        <w:pStyle w:val="Bullet"/>
        <w:numPr>
          <w:ilvl w:val="0"/>
          <w:numId w:val="1"/>
        </w:numPr>
        <w:spacing w:after="120" w:line="240" w:lineRule="auto"/>
        <w:rPr>
          <w:i/>
          <w:iCs/>
          <w:color w:val="auto"/>
          <w:sz w:val="32"/>
          <w:szCs w:val="32"/>
          <w:lang w:val="en-GB"/>
        </w:rPr>
      </w:pPr>
      <w:r w:rsidRPr="00511B11">
        <w:rPr>
          <w:b/>
          <w:bCs/>
          <w:color w:val="auto"/>
          <w:sz w:val="24"/>
          <w:szCs w:val="24"/>
        </w:rPr>
        <w:t xml:space="preserve">Migration Amendment (Charging for a Migration Outcome) </w:t>
      </w:r>
      <w:r w:rsidR="00D92E99" w:rsidRPr="00511B11">
        <w:rPr>
          <w:b/>
          <w:bCs/>
          <w:color w:val="auto"/>
          <w:sz w:val="24"/>
          <w:szCs w:val="24"/>
        </w:rPr>
        <w:t xml:space="preserve">Bill </w:t>
      </w:r>
      <w:r w:rsidR="00D92E99" w:rsidRPr="00511B11">
        <w:rPr>
          <w:b/>
          <w:bCs/>
          <w:sz w:val="24"/>
          <w:szCs w:val="24"/>
        </w:rPr>
        <w:t>201</w:t>
      </w:r>
      <w:r w:rsidR="00F30929" w:rsidRPr="00511B11">
        <w:rPr>
          <w:b/>
          <w:bCs/>
          <w:sz w:val="24"/>
          <w:szCs w:val="24"/>
        </w:rPr>
        <w:t>5</w:t>
      </w:r>
      <w:r w:rsidR="000E0DF6" w:rsidRPr="00511B11">
        <w:rPr>
          <w:b/>
          <w:bCs/>
          <w:sz w:val="24"/>
          <w:szCs w:val="24"/>
        </w:rPr>
        <w:t xml:space="preserve"> </w:t>
      </w:r>
      <w:r w:rsidR="00F47467" w:rsidRPr="00511B11">
        <w:rPr>
          <w:rStyle w:val="Italic"/>
          <w:sz w:val="22"/>
          <w:szCs w:val="22"/>
          <w:lang w:val="en-GB"/>
        </w:rPr>
        <w:t>(</w:t>
      </w:r>
      <w:hyperlink r:id="rId18" w:history="1">
        <w:r w:rsidR="00F47467" w:rsidRPr="00511B11">
          <w:rPr>
            <w:rStyle w:val="Hyperlink"/>
            <w:i/>
            <w:sz w:val="22"/>
            <w:szCs w:val="22"/>
            <w:lang w:val="en-GB"/>
          </w:rPr>
          <w:t>Alert Digest No. 11 of 2015</w:t>
        </w:r>
      </w:hyperlink>
      <w:r w:rsidR="00F47467" w:rsidRPr="00511B11">
        <w:rPr>
          <w:rStyle w:val="Italic"/>
          <w:sz w:val="22"/>
          <w:szCs w:val="22"/>
          <w:lang w:val="en-GB"/>
        </w:rPr>
        <w:t>)</w:t>
      </w:r>
    </w:p>
    <w:p w:rsidR="00811362" w:rsidRPr="00511B11" w:rsidRDefault="00943614" w:rsidP="00AB7E40">
      <w:pPr>
        <w:pStyle w:val="Bullet"/>
        <w:numPr>
          <w:ilvl w:val="1"/>
          <w:numId w:val="1"/>
        </w:numPr>
        <w:spacing w:after="120" w:line="240" w:lineRule="auto"/>
        <w:ind w:left="851" w:hanging="425"/>
        <w:rPr>
          <w:iCs/>
          <w:sz w:val="22"/>
          <w:szCs w:val="22"/>
          <w:lang w:val="en-GB"/>
        </w:rPr>
      </w:pPr>
      <w:r w:rsidRPr="00511B11">
        <w:rPr>
          <w:iCs/>
          <w:sz w:val="22"/>
          <w:szCs w:val="22"/>
          <w:u w:val="single"/>
          <w:lang w:val="en-GB"/>
        </w:rPr>
        <w:t>Various matters</w:t>
      </w:r>
      <w:r w:rsidR="000E0DF6" w:rsidRPr="00511B11">
        <w:rPr>
          <w:iCs/>
          <w:sz w:val="22"/>
          <w:szCs w:val="22"/>
          <w:lang w:val="en-GB"/>
        </w:rPr>
        <w:t>:</w:t>
      </w:r>
      <w:r w:rsidR="007D3171">
        <w:rPr>
          <w:iCs/>
          <w:sz w:val="22"/>
          <w:szCs w:val="22"/>
          <w:lang w:val="en-GB"/>
        </w:rPr>
        <w:t xml:space="preserve"> </w:t>
      </w:r>
      <w:r w:rsidRPr="00511B11">
        <w:rPr>
          <w:iCs/>
          <w:sz w:val="22"/>
          <w:szCs w:val="22"/>
          <w:lang w:val="en-GB"/>
        </w:rPr>
        <w:t xml:space="preserve"> The committee is seeking the Minister’s advice in relation to:</w:t>
      </w:r>
    </w:p>
    <w:p w:rsidR="00B36DE9" w:rsidRPr="00511B11" w:rsidRDefault="00511B11" w:rsidP="00943614">
      <w:pPr>
        <w:pStyle w:val="Bullet"/>
        <w:numPr>
          <w:ilvl w:val="2"/>
          <w:numId w:val="1"/>
        </w:numPr>
        <w:spacing w:after="120" w:line="240" w:lineRule="auto"/>
        <w:ind w:left="1418" w:hanging="284"/>
        <w:rPr>
          <w:iCs/>
          <w:sz w:val="22"/>
          <w:szCs w:val="22"/>
          <w:lang w:val="en-GB"/>
        </w:rPr>
      </w:pPr>
      <w:r w:rsidRPr="00511B11">
        <w:rPr>
          <w:iCs/>
          <w:sz w:val="22"/>
          <w:szCs w:val="22"/>
          <w:lang w:val="en-GB"/>
        </w:rPr>
        <w:t>the availability of</w:t>
      </w:r>
      <w:r w:rsidR="00B36DE9" w:rsidRPr="00511B11">
        <w:rPr>
          <w:iCs/>
          <w:sz w:val="22"/>
          <w:szCs w:val="22"/>
          <w:lang w:val="en-GB"/>
        </w:rPr>
        <w:t xml:space="preserve"> </w:t>
      </w:r>
      <w:r w:rsidR="00B36DE9" w:rsidRPr="00511B11">
        <w:rPr>
          <w:iCs/>
          <w:sz w:val="22"/>
          <w:szCs w:val="22"/>
          <w:u w:val="single"/>
          <w:lang w:val="en-GB"/>
        </w:rPr>
        <w:t>merits review</w:t>
      </w:r>
      <w:r w:rsidR="00B36DE9" w:rsidRPr="00511B11">
        <w:rPr>
          <w:iCs/>
          <w:sz w:val="22"/>
          <w:szCs w:val="22"/>
          <w:lang w:val="en-GB"/>
        </w:rPr>
        <w:t xml:space="preserve"> </w:t>
      </w:r>
      <w:r w:rsidRPr="00511B11">
        <w:rPr>
          <w:iCs/>
          <w:sz w:val="22"/>
          <w:szCs w:val="22"/>
          <w:lang w:val="en-GB"/>
        </w:rPr>
        <w:t>for</w:t>
      </w:r>
      <w:r w:rsidR="00B36DE9" w:rsidRPr="00511B11">
        <w:rPr>
          <w:iCs/>
          <w:sz w:val="22"/>
          <w:szCs w:val="22"/>
          <w:lang w:val="en-GB"/>
        </w:rPr>
        <w:t xml:space="preserve"> decisions to cancel a visa where the visa holder has engaged in ‘payment for visas’ activity; </w:t>
      </w:r>
    </w:p>
    <w:p w:rsidR="00943614" w:rsidRPr="00511B11" w:rsidRDefault="00B36DE9" w:rsidP="00943614">
      <w:pPr>
        <w:pStyle w:val="Bullet"/>
        <w:numPr>
          <w:ilvl w:val="2"/>
          <w:numId w:val="1"/>
        </w:numPr>
        <w:spacing w:after="120" w:line="240" w:lineRule="auto"/>
        <w:ind w:left="1418" w:hanging="284"/>
        <w:rPr>
          <w:iCs/>
          <w:sz w:val="22"/>
          <w:szCs w:val="22"/>
          <w:lang w:val="en-GB"/>
        </w:rPr>
      </w:pPr>
      <w:r w:rsidRPr="00511B11">
        <w:rPr>
          <w:iCs/>
          <w:sz w:val="22"/>
          <w:szCs w:val="22"/>
          <w:lang w:val="en-GB"/>
        </w:rPr>
        <w:t xml:space="preserve">provisions which will </w:t>
      </w:r>
      <w:r w:rsidR="00AB7E40">
        <w:rPr>
          <w:iCs/>
          <w:sz w:val="22"/>
          <w:szCs w:val="22"/>
          <w:u w:val="single"/>
          <w:lang w:val="en-GB"/>
        </w:rPr>
        <w:t xml:space="preserve">abrogate </w:t>
      </w:r>
      <w:r w:rsidRPr="00511B11">
        <w:rPr>
          <w:iCs/>
          <w:sz w:val="22"/>
          <w:szCs w:val="22"/>
          <w:u w:val="single"/>
          <w:lang w:val="en-GB"/>
        </w:rPr>
        <w:t>the privilege against self-incrimination</w:t>
      </w:r>
      <w:r w:rsidRPr="00511B11">
        <w:rPr>
          <w:iCs/>
          <w:sz w:val="22"/>
          <w:szCs w:val="22"/>
          <w:lang w:val="en-GB"/>
        </w:rPr>
        <w:t xml:space="preserve"> by allowing information that is required to be </w:t>
      </w:r>
      <w:r w:rsidR="00607C3B" w:rsidRPr="00511B11">
        <w:rPr>
          <w:iCs/>
          <w:sz w:val="22"/>
          <w:szCs w:val="22"/>
          <w:lang w:val="en-GB"/>
        </w:rPr>
        <w:t xml:space="preserve">given by a person to be used in criminal or civil proceedings against the person in relation to an alleged contravention of a ‘payment for visas’ provision; </w:t>
      </w:r>
    </w:p>
    <w:p w:rsidR="00607C3B" w:rsidRPr="00511B11" w:rsidRDefault="003476C5" w:rsidP="00943614">
      <w:pPr>
        <w:pStyle w:val="Bullet"/>
        <w:numPr>
          <w:ilvl w:val="2"/>
          <w:numId w:val="1"/>
        </w:numPr>
        <w:spacing w:after="120" w:line="240" w:lineRule="auto"/>
        <w:ind w:left="1418" w:hanging="284"/>
        <w:rPr>
          <w:iCs/>
          <w:sz w:val="22"/>
          <w:szCs w:val="22"/>
          <w:lang w:val="en-GB"/>
        </w:rPr>
      </w:pPr>
      <w:r w:rsidRPr="00511B11">
        <w:rPr>
          <w:iCs/>
          <w:sz w:val="22"/>
          <w:szCs w:val="22"/>
          <w:lang w:val="en-GB"/>
        </w:rPr>
        <w:t xml:space="preserve">provisions which place an </w:t>
      </w:r>
      <w:r w:rsidRPr="00511B11">
        <w:rPr>
          <w:iCs/>
          <w:sz w:val="22"/>
          <w:szCs w:val="22"/>
          <w:u w:val="single"/>
          <w:lang w:val="en-GB"/>
        </w:rPr>
        <w:t>evidential burden on the defendant</w:t>
      </w:r>
      <w:r w:rsidRPr="00511B11">
        <w:rPr>
          <w:iCs/>
          <w:sz w:val="22"/>
          <w:szCs w:val="22"/>
          <w:lang w:val="en-GB"/>
        </w:rPr>
        <w:t>;</w:t>
      </w:r>
      <w:r w:rsidR="00AA0346" w:rsidRPr="00511B11">
        <w:rPr>
          <w:iCs/>
          <w:sz w:val="22"/>
          <w:szCs w:val="22"/>
          <w:lang w:val="en-GB"/>
        </w:rPr>
        <w:t xml:space="preserve"> and</w:t>
      </w:r>
    </w:p>
    <w:p w:rsidR="003476C5" w:rsidRPr="00511B11" w:rsidRDefault="003476C5" w:rsidP="00943614">
      <w:pPr>
        <w:pStyle w:val="Bullet"/>
        <w:numPr>
          <w:ilvl w:val="2"/>
          <w:numId w:val="1"/>
        </w:numPr>
        <w:spacing w:after="120" w:line="240" w:lineRule="auto"/>
        <w:ind w:left="1418" w:hanging="284"/>
        <w:rPr>
          <w:iCs/>
          <w:sz w:val="22"/>
          <w:szCs w:val="22"/>
          <w:lang w:val="en-GB"/>
        </w:rPr>
      </w:pPr>
      <w:r w:rsidRPr="00511B11">
        <w:rPr>
          <w:iCs/>
          <w:sz w:val="22"/>
          <w:szCs w:val="22"/>
          <w:lang w:val="en-GB"/>
        </w:rPr>
        <w:t xml:space="preserve">provisions which will impose significant </w:t>
      </w:r>
      <w:r w:rsidRPr="00511B11">
        <w:rPr>
          <w:iCs/>
          <w:sz w:val="22"/>
          <w:szCs w:val="22"/>
          <w:u w:val="single"/>
          <w:lang w:val="en-GB"/>
        </w:rPr>
        <w:t>strict liability</w:t>
      </w:r>
      <w:r w:rsidRPr="00511B11">
        <w:rPr>
          <w:iCs/>
          <w:sz w:val="22"/>
          <w:szCs w:val="22"/>
          <w:lang w:val="en-GB"/>
        </w:rPr>
        <w:t xml:space="preserve"> penalties (240 penalty units: $43,200 for individuals and $216,000 for bodies corporate)</w:t>
      </w:r>
      <w:r w:rsidR="00AA0346" w:rsidRPr="00511B11">
        <w:rPr>
          <w:iCs/>
          <w:sz w:val="22"/>
          <w:szCs w:val="22"/>
          <w:lang w:val="en-GB"/>
        </w:rPr>
        <w:t>.</w:t>
      </w:r>
    </w:p>
    <w:p w:rsidR="009436BA" w:rsidRPr="00D951B2" w:rsidRDefault="009436BA" w:rsidP="009436BA">
      <w:pPr>
        <w:pStyle w:val="Bullet"/>
        <w:numPr>
          <w:ilvl w:val="0"/>
          <w:numId w:val="1"/>
        </w:numPr>
        <w:spacing w:after="120" w:line="240" w:lineRule="auto"/>
        <w:rPr>
          <w:i/>
          <w:iCs/>
          <w:color w:val="auto"/>
          <w:sz w:val="32"/>
          <w:szCs w:val="32"/>
          <w:lang w:val="en-GB"/>
        </w:rPr>
      </w:pPr>
      <w:r w:rsidRPr="00D951B2">
        <w:rPr>
          <w:b/>
          <w:bCs/>
          <w:color w:val="auto"/>
          <w:sz w:val="24"/>
          <w:szCs w:val="24"/>
        </w:rPr>
        <w:t xml:space="preserve">Migration Amendment (Regional Processing Arrangements) Bill </w:t>
      </w:r>
      <w:r w:rsidRPr="00D951B2">
        <w:rPr>
          <w:b/>
          <w:bCs/>
          <w:sz w:val="24"/>
          <w:szCs w:val="24"/>
        </w:rPr>
        <w:t xml:space="preserve">2015 </w:t>
      </w:r>
      <w:r w:rsidRPr="00D951B2">
        <w:rPr>
          <w:rStyle w:val="Italic"/>
          <w:rFonts w:eastAsia="Times New Roman"/>
          <w:color w:val="auto"/>
          <w:sz w:val="22"/>
          <w:szCs w:val="22"/>
          <w:lang w:val="en-GB"/>
        </w:rPr>
        <w:t>(</w:t>
      </w:r>
      <w:hyperlink r:id="rId19" w:history="1">
        <w:r w:rsidRPr="00D951B2">
          <w:rPr>
            <w:rStyle w:val="Hyperlink"/>
            <w:rFonts w:eastAsia="Times New Roman"/>
            <w:i/>
            <w:sz w:val="22"/>
            <w:szCs w:val="22"/>
            <w:lang w:val="en-GB"/>
          </w:rPr>
          <w:t>Eleventh Report of 2015</w:t>
        </w:r>
      </w:hyperlink>
      <w:r w:rsidRPr="00D951B2">
        <w:rPr>
          <w:rStyle w:val="Italic"/>
          <w:rFonts w:eastAsia="Times New Roman"/>
          <w:color w:val="auto"/>
          <w:sz w:val="22"/>
          <w:szCs w:val="22"/>
          <w:lang w:val="en-GB"/>
        </w:rPr>
        <w:t>)</w:t>
      </w:r>
      <w:r w:rsidRPr="00D951B2">
        <w:rPr>
          <w:b/>
          <w:bCs/>
          <w:sz w:val="24"/>
          <w:szCs w:val="24"/>
        </w:rPr>
        <w:t xml:space="preserve">  </w:t>
      </w:r>
    </w:p>
    <w:p w:rsidR="009436BA" w:rsidRPr="007D3171" w:rsidRDefault="00E62D2A" w:rsidP="00AB7E40">
      <w:pPr>
        <w:pStyle w:val="Bullet"/>
        <w:numPr>
          <w:ilvl w:val="1"/>
          <w:numId w:val="1"/>
        </w:numPr>
        <w:spacing w:after="120" w:line="240" w:lineRule="auto"/>
        <w:ind w:left="851" w:hanging="425"/>
        <w:rPr>
          <w:iCs/>
          <w:sz w:val="22"/>
          <w:szCs w:val="22"/>
          <w:lang w:val="en-GB"/>
        </w:rPr>
      </w:pPr>
      <w:r w:rsidRPr="00D951B2">
        <w:rPr>
          <w:iCs/>
          <w:sz w:val="22"/>
          <w:szCs w:val="22"/>
          <w:u w:val="single"/>
          <w:lang w:val="en-GB"/>
        </w:rPr>
        <w:t>Retrospectivity</w:t>
      </w:r>
      <w:r w:rsidR="009436BA" w:rsidRPr="00D951B2">
        <w:rPr>
          <w:iCs/>
          <w:sz w:val="22"/>
          <w:szCs w:val="22"/>
          <w:lang w:val="en-GB"/>
        </w:rPr>
        <w:t>:</w:t>
      </w:r>
      <w:r w:rsidRPr="00D951B2">
        <w:rPr>
          <w:iCs/>
          <w:sz w:val="22"/>
          <w:szCs w:val="22"/>
          <w:lang w:val="en-GB"/>
        </w:rPr>
        <w:t xml:space="preserve"> </w:t>
      </w:r>
      <w:r w:rsidR="007D3171">
        <w:rPr>
          <w:iCs/>
          <w:sz w:val="22"/>
          <w:szCs w:val="22"/>
          <w:lang w:val="en-GB"/>
        </w:rPr>
        <w:t xml:space="preserve"> </w:t>
      </w:r>
      <w:r w:rsidRPr="00D951B2">
        <w:rPr>
          <w:iCs/>
          <w:sz w:val="22"/>
          <w:szCs w:val="22"/>
          <w:lang w:val="en-GB"/>
        </w:rPr>
        <w:t xml:space="preserve">This bill amended the Migration Act to provide statutory authority (with effect from 18 August 2012) in relation to Australia’s regional processing arrangements. </w:t>
      </w:r>
      <w:r w:rsidR="00983EE0" w:rsidRPr="00D951B2">
        <w:rPr>
          <w:iCs/>
          <w:sz w:val="22"/>
          <w:szCs w:val="22"/>
          <w:lang w:val="en-GB"/>
        </w:rPr>
        <w:t>The committee</w:t>
      </w:r>
      <w:r w:rsidRPr="00D951B2">
        <w:rPr>
          <w:iCs/>
          <w:sz w:val="22"/>
          <w:szCs w:val="22"/>
          <w:lang w:val="en-GB"/>
        </w:rPr>
        <w:t xml:space="preserve"> noted that although particular actions may be declared unlawful in the absence of these amendments, from a scrutiny perspective this is not sufficient to justify retrospective validation given that retrospectivity </w:t>
      </w:r>
      <w:r w:rsidRPr="007D3171">
        <w:rPr>
          <w:iCs/>
          <w:sz w:val="22"/>
          <w:szCs w:val="22"/>
          <w:lang w:val="en-GB"/>
        </w:rPr>
        <w:t>significantly undermines the rule of law. This concern is exacerbated by the significant breadth of the power validated by the bill, which includes ‘exercising restraint over the liberty of a person’.</w:t>
      </w:r>
    </w:p>
    <w:p w:rsidR="00CD1C3F" w:rsidRPr="007D3171" w:rsidRDefault="00CD1C3F" w:rsidP="00CD1C3F">
      <w:pPr>
        <w:pStyle w:val="Bullet"/>
        <w:numPr>
          <w:ilvl w:val="0"/>
          <w:numId w:val="1"/>
        </w:numPr>
        <w:spacing w:after="120" w:line="240" w:lineRule="auto"/>
        <w:rPr>
          <w:i/>
          <w:iCs/>
          <w:color w:val="auto"/>
          <w:sz w:val="32"/>
          <w:szCs w:val="32"/>
          <w:lang w:val="en-GB"/>
        </w:rPr>
      </w:pPr>
      <w:r w:rsidRPr="007D3171">
        <w:rPr>
          <w:b/>
          <w:bCs/>
          <w:color w:val="auto"/>
          <w:sz w:val="24"/>
          <w:szCs w:val="24"/>
        </w:rPr>
        <w:t xml:space="preserve">Migration and Maritime Powers Amendment Bill (No. 1) </w:t>
      </w:r>
      <w:r w:rsidRPr="007D3171">
        <w:rPr>
          <w:b/>
          <w:bCs/>
          <w:sz w:val="24"/>
          <w:szCs w:val="24"/>
        </w:rPr>
        <w:t xml:space="preserve">2015 </w:t>
      </w:r>
      <w:r w:rsidRPr="007D3171">
        <w:rPr>
          <w:rStyle w:val="Italic"/>
          <w:sz w:val="22"/>
          <w:szCs w:val="22"/>
          <w:lang w:val="en-GB"/>
        </w:rPr>
        <w:t>(</w:t>
      </w:r>
      <w:hyperlink r:id="rId20" w:history="1">
        <w:r w:rsidRPr="007D3171">
          <w:rPr>
            <w:rStyle w:val="Hyperlink"/>
            <w:i/>
            <w:sz w:val="22"/>
            <w:szCs w:val="22"/>
            <w:lang w:val="en-GB"/>
          </w:rPr>
          <w:t>Alert Digest No. 11 of 2015</w:t>
        </w:r>
      </w:hyperlink>
      <w:r w:rsidRPr="007D3171">
        <w:rPr>
          <w:rStyle w:val="Italic"/>
          <w:sz w:val="22"/>
          <w:szCs w:val="22"/>
          <w:lang w:val="en-GB"/>
        </w:rPr>
        <w:t>)</w:t>
      </w:r>
    </w:p>
    <w:p w:rsidR="00CD1C3F" w:rsidRPr="007D3171" w:rsidRDefault="007D3171" w:rsidP="00AB7E40">
      <w:pPr>
        <w:pStyle w:val="Bullet"/>
        <w:numPr>
          <w:ilvl w:val="1"/>
          <w:numId w:val="1"/>
        </w:numPr>
        <w:spacing w:after="120" w:line="240" w:lineRule="auto"/>
        <w:ind w:left="851" w:hanging="425"/>
        <w:rPr>
          <w:iCs/>
          <w:sz w:val="22"/>
          <w:szCs w:val="22"/>
          <w:u w:val="single"/>
          <w:lang w:val="en-GB"/>
        </w:rPr>
      </w:pPr>
      <w:r w:rsidRPr="007D3171">
        <w:rPr>
          <w:iCs/>
          <w:sz w:val="22"/>
          <w:szCs w:val="22"/>
          <w:u w:val="single"/>
          <w:lang w:val="en-GB"/>
        </w:rPr>
        <w:t>Retrospectiv</w:t>
      </w:r>
      <w:r w:rsidR="00E45F38">
        <w:rPr>
          <w:iCs/>
          <w:sz w:val="22"/>
          <w:szCs w:val="22"/>
          <w:u w:val="single"/>
          <w:lang w:val="en-GB"/>
        </w:rPr>
        <w:t>ity</w:t>
      </w:r>
      <w:r w:rsidRPr="007D3171">
        <w:rPr>
          <w:iCs/>
          <w:sz w:val="22"/>
          <w:szCs w:val="22"/>
          <w:lang w:val="en-GB"/>
        </w:rPr>
        <w:t>:  Amendments which commenced on 25 September 2014 sought to prevent a person making a further protection visa application in specific circumstances. However, the provisions as drafted were</w:t>
      </w:r>
      <w:r w:rsidR="00E45F38">
        <w:rPr>
          <w:iCs/>
          <w:sz w:val="22"/>
          <w:szCs w:val="22"/>
          <w:lang w:val="en-GB"/>
        </w:rPr>
        <w:t xml:space="preserve"> </w:t>
      </w:r>
      <w:r w:rsidRPr="007D3171">
        <w:rPr>
          <w:iCs/>
          <w:sz w:val="22"/>
          <w:szCs w:val="22"/>
          <w:lang w:val="en-GB"/>
        </w:rPr>
        <w:t>n</w:t>
      </w:r>
      <w:r w:rsidR="00E45F38">
        <w:rPr>
          <w:iCs/>
          <w:sz w:val="22"/>
          <w:szCs w:val="22"/>
          <w:lang w:val="en-GB"/>
        </w:rPr>
        <w:t>o</w:t>
      </w:r>
      <w:r w:rsidRPr="007D3171">
        <w:rPr>
          <w:iCs/>
          <w:sz w:val="22"/>
          <w:szCs w:val="22"/>
          <w:lang w:val="en-GB"/>
        </w:rPr>
        <w:t xml:space="preserve">t effective as intended and this bill again seeks to instate a statutory bar on applications in these circumstances and seeks to apply the provisions retrospectively from 25 September 2014. From a scrutiny perspective, retrospectively aligning the law with prior intentions significantly undermines the rule of law, particularly when the consequences for affected individuals are significant. In general, individuals should be entitled to rely on the current law to determine their rights. Retrospective commencement, when too widely used or insufficiently justified, can work to diminish respect for law and the underlying values of the rule of law. </w:t>
      </w:r>
      <w:r w:rsidRPr="007D3171">
        <w:rPr>
          <w:iCs/>
          <w:sz w:val="22"/>
          <w:szCs w:val="22"/>
          <w:u w:val="single"/>
          <w:lang w:val="en-GB"/>
        </w:rPr>
        <w:t>The committee is therefore seeking further advice from the Minister, including addressing the importance of limiting retrospective commencement to cases where this can be seen to further, rather</w:t>
      </w:r>
      <w:r>
        <w:rPr>
          <w:iCs/>
          <w:sz w:val="22"/>
          <w:szCs w:val="22"/>
          <w:u w:val="single"/>
          <w:lang w:val="en-GB"/>
        </w:rPr>
        <w:t xml:space="preserve"> than diminish, the rule of law</w:t>
      </w:r>
      <w:r>
        <w:rPr>
          <w:iCs/>
          <w:sz w:val="22"/>
          <w:szCs w:val="22"/>
          <w:lang w:val="en-GB"/>
        </w:rPr>
        <w:t>.</w:t>
      </w:r>
    </w:p>
    <w:p w:rsidR="00197963" w:rsidRPr="00AE794A" w:rsidRDefault="00197963" w:rsidP="00F553BC">
      <w:pPr>
        <w:pStyle w:val="Heading2"/>
        <w:keepNext/>
        <w:spacing w:after="120" w:line="240" w:lineRule="auto"/>
        <w:rPr>
          <w:rFonts w:eastAsia="Times New Roman"/>
          <w:lang w:val="en-GB"/>
        </w:rPr>
      </w:pPr>
      <w:r>
        <w:rPr>
          <w:rFonts w:eastAsia="Times New Roman"/>
          <w:sz w:val="28"/>
          <w:szCs w:val="28"/>
          <w:lang w:val="en-GB"/>
        </w:rPr>
        <w:lastRenderedPageBreak/>
        <w:t>Other bills for which advice is being sought from the Minister or proposer</w:t>
      </w:r>
      <w:r>
        <w:rPr>
          <w:rFonts w:eastAsia="Times New Roman"/>
          <w:lang w:val="en-GB"/>
        </w:rPr>
        <w:t xml:space="preserve"> </w:t>
      </w:r>
    </w:p>
    <w:p w:rsidR="00197963" w:rsidRPr="00A96B94" w:rsidRDefault="00197963" w:rsidP="00F553BC">
      <w:pPr>
        <w:keepNext/>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197963" w:rsidRPr="00811362" w:rsidRDefault="00937D60" w:rsidP="004574DB">
      <w:pPr>
        <w:pStyle w:val="Bullet"/>
        <w:numPr>
          <w:ilvl w:val="0"/>
          <w:numId w:val="2"/>
        </w:numPr>
        <w:spacing w:after="120" w:line="240" w:lineRule="auto"/>
        <w:ind w:left="426" w:hanging="426"/>
        <w:rPr>
          <w:b/>
          <w:bCs/>
          <w:i/>
          <w:iCs/>
          <w:sz w:val="22"/>
          <w:szCs w:val="22"/>
        </w:rPr>
      </w:pPr>
      <w:r>
        <w:rPr>
          <w:b/>
          <w:iCs/>
          <w:sz w:val="22"/>
          <w:szCs w:val="22"/>
          <w:lang w:val="en-GB"/>
        </w:rPr>
        <w:t xml:space="preserve">Aviation Transport Security Amendment (Cargo) </w:t>
      </w:r>
      <w:r w:rsidR="005E62F3" w:rsidRPr="00811362">
        <w:rPr>
          <w:b/>
          <w:iCs/>
          <w:sz w:val="22"/>
          <w:szCs w:val="22"/>
          <w:lang w:val="en-GB"/>
        </w:rPr>
        <w:t>Bill 201</w:t>
      </w:r>
      <w:r w:rsidR="00E3305A">
        <w:rPr>
          <w:b/>
          <w:iCs/>
          <w:sz w:val="22"/>
          <w:szCs w:val="22"/>
          <w:lang w:val="en-GB"/>
        </w:rPr>
        <w:t>5</w:t>
      </w:r>
      <w:r w:rsidR="00B57CCC">
        <w:rPr>
          <w:iCs/>
          <w:sz w:val="22"/>
          <w:szCs w:val="22"/>
          <w:lang w:val="en-GB"/>
        </w:rPr>
        <w:t>:</w:t>
      </w:r>
      <w:r>
        <w:rPr>
          <w:iCs/>
          <w:sz w:val="22"/>
          <w:szCs w:val="22"/>
          <w:lang w:val="en-GB"/>
        </w:rPr>
        <w:t xml:space="preserve"> </w:t>
      </w:r>
      <w:r w:rsidRPr="00937D60">
        <w:rPr>
          <w:iCs/>
          <w:sz w:val="22"/>
          <w:szCs w:val="22"/>
          <w:lang w:val="en-GB"/>
        </w:rPr>
        <w:t>whether the power to make regulations authorising the opening, deconsolidation or unpacking of cargo can be expressly limited to the intended purpose of detecting explosives</w:t>
      </w:r>
      <w:r w:rsidR="00404558">
        <w:rPr>
          <w:iCs/>
          <w:sz w:val="22"/>
          <w:szCs w:val="22"/>
          <w:lang w:val="en-GB"/>
        </w:rPr>
        <w:t xml:space="preserve"> </w:t>
      </w:r>
      <w:r w:rsidR="00D951B2" w:rsidRPr="007D3171">
        <w:rPr>
          <w:i/>
          <w:iCs/>
          <w:sz w:val="22"/>
          <w:szCs w:val="22"/>
          <w:lang w:val="en-GB"/>
        </w:rPr>
        <w:t>(</w:t>
      </w:r>
      <w:hyperlink r:id="rId21" w:history="1">
        <w:r w:rsidR="00D951B2" w:rsidRPr="007D3171">
          <w:rPr>
            <w:rStyle w:val="Hyperlink"/>
            <w:i/>
            <w:iCs/>
            <w:sz w:val="22"/>
            <w:szCs w:val="22"/>
            <w:lang w:val="en-GB"/>
          </w:rPr>
          <w:t>Alert Digest No. 11 of 2015</w:t>
        </w:r>
      </w:hyperlink>
      <w:r w:rsidR="00D951B2" w:rsidRPr="007D3171">
        <w:rPr>
          <w:i/>
          <w:iCs/>
          <w:sz w:val="22"/>
          <w:szCs w:val="22"/>
          <w:lang w:val="en-GB"/>
        </w:rPr>
        <w:t>)</w:t>
      </w:r>
      <w:r w:rsidR="00D951B2">
        <w:rPr>
          <w:iCs/>
          <w:sz w:val="22"/>
          <w:szCs w:val="22"/>
          <w:lang w:val="en-GB"/>
        </w:rPr>
        <w:t>;</w:t>
      </w:r>
    </w:p>
    <w:p w:rsidR="00CD1C3F" w:rsidRPr="00D951B2" w:rsidRDefault="00CD1C3F" w:rsidP="004574DB">
      <w:pPr>
        <w:pStyle w:val="Bullet"/>
        <w:numPr>
          <w:ilvl w:val="0"/>
          <w:numId w:val="2"/>
        </w:numPr>
        <w:spacing w:after="120" w:line="240" w:lineRule="auto"/>
        <w:ind w:left="426" w:hanging="414"/>
        <w:rPr>
          <w:b/>
          <w:bCs/>
          <w:i/>
          <w:iCs/>
          <w:sz w:val="22"/>
          <w:szCs w:val="22"/>
        </w:rPr>
      </w:pPr>
      <w:r w:rsidRPr="00CD1C3F">
        <w:rPr>
          <w:b/>
          <w:iCs/>
          <w:sz w:val="22"/>
          <w:szCs w:val="22"/>
          <w:lang w:val="en-GB"/>
        </w:rPr>
        <w:t xml:space="preserve">Customs Amendment (China-Australia Free Trade Agreement Implementation) </w:t>
      </w:r>
      <w:r w:rsidR="005E62F3" w:rsidRPr="00811362">
        <w:rPr>
          <w:b/>
          <w:iCs/>
          <w:sz w:val="22"/>
          <w:szCs w:val="22"/>
          <w:lang w:val="en-GB"/>
        </w:rPr>
        <w:t>Bill 201</w:t>
      </w:r>
      <w:r w:rsidR="00E3305A">
        <w:rPr>
          <w:b/>
          <w:iCs/>
          <w:sz w:val="22"/>
          <w:szCs w:val="22"/>
          <w:lang w:val="en-GB"/>
        </w:rPr>
        <w:t>5</w:t>
      </w:r>
      <w:r w:rsidR="00B57CCC">
        <w:rPr>
          <w:iCs/>
          <w:sz w:val="22"/>
          <w:szCs w:val="22"/>
          <w:lang w:val="en-GB"/>
        </w:rPr>
        <w:t>:</w:t>
      </w:r>
      <w:r>
        <w:rPr>
          <w:iCs/>
          <w:sz w:val="22"/>
          <w:szCs w:val="22"/>
          <w:lang w:val="en-GB"/>
        </w:rPr>
        <w:t xml:space="preserve"> </w:t>
      </w:r>
      <w:r w:rsidRPr="00CD1C3F">
        <w:rPr>
          <w:iCs/>
          <w:sz w:val="22"/>
          <w:szCs w:val="22"/>
          <w:lang w:val="en-GB"/>
        </w:rPr>
        <w:t xml:space="preserve">whether any </w:t>
      </w:r>
      <w:r w:rsidRPr="00D951B2">
        <w:rPr>
          <w:iCs/>
          <w:sz w:val="22"/>
          <w:szCs w:val="22"/>
          <w:lang w:val="en-GB"/>
        </w:rPr>
        <w:t>material incorporated as existing from time-to-time will be readily</w:t>
      </w:r>
      <w:r w:rsidR="00AB7E40">
        <w:rPr>
          <w:iCs/>
          <w:sz w:val="22"/>
          <w:szCs w:val="22"/>
          <w:lang w:val="en-GB"/>
        </w:rPr>
        <w:t xml:space="preserve"> and freely</w:t>
      </w:r>
      <w:r w:rsidRPr="00D951B2">
        <w:rPr>
          <w:iCs/>
          <w:sz w:val="22"/>
          <w:szCs w:val="22"/>
          <w:lang w:val="en-GB"/>
        </w:rPr>
        <w:t xml:space="preserve"> available</w:t>
      </w:r>
      <w:r w:rsidR="00D951B2" w:rsidRPr="00D951B2">
        <w:rPr>
          <w:iCs/>
          <w:sz w:val="22"/>
          <w:szCs w:val="22"/>
          <w:lang w:val="en-GB"/>
        </w:rPr>
        <w:t xml:space="preserve"> </w:t>
      </w:r>
      <w:r w:rsidR="00D951B2" w:rsidRPr="007D3171">
        <w:rPr>
          <w:i/>
          <w:iCs/>
          <w:sz w:val="22"/>
          <w:szCs w:val="22"/>
          <w:lang w:val="en-GB"/>
        </w:rPr>
        <w:t>(</w:t>
      </w:r>
      <w:hyperlink r:id="rId22" w:history="1">
        <w:r w:rsidR="00D951B2" w:rsidRPr="007D3171">
          <w:rPr>
            <w:rStyle w:val="Hyperlink"/>
            <w:i/>
            <w:iCs/>
            <w:sz w:val="22"/>
            <w:szCs w:val="22"/>
            <w:lang w:val="en-GB"/>
          </w:rPr>
          <w:t>Alert Digest No. 11 of 2015</w:t>
        </w:r>
      </w:hyperlink>
      <w:r w:rsidR="00D951B2" w:rsidRPr="007D3171">
        <w:rPr>
          <w:i/>
          <w:iCs/>
          <w:sz w:val="22"/>
          <w:szCs w:val="22"/>
          <w:lang w:val="en-GB"/>
        </w:rPr>
        <w:t>)</w:t>
      </w:r>
      <w:r w:rsidR="00D951B2">
        <w:rPr>
          <w:iCs/>
          <w:sz w:val="22"/>
          <w:szCs w:val="22"/>
          <w:lang w:val="en-GB"/>
        </w:rPr>
        <w:t xml:space="preserve">; </w:t>
      </w:r>
      <w:r w:rsidR="00D951B2" w:rsidRPr="00D951B2">
        <w:rPr>
          <w:iCs/>
          <w:sz w:val="22"/>
          <w:szCs w:val="22"/>
          <w:lang w:val="en-GB"/>
        </w:rPr>
        <w:t>and</w:t>
      </w:r>
    </w:p>
    <w:p w:rsidR="00B57CCC" w:rsidRPr="00D951B2" w:rsidRDefault="004574DB" w:rsidP="00311467">
      <w:pPr>
        <w:pStyle w:val="Bullet"/>
        <w:numPr>
          <w:ilvl w:val="0"/>
          <w:numId w:val="2"/>
        </w:numPr>
        <w:spacing w:after="0" w:line="240" w:lineRule="auto"/>
        <w:ind w:left="426" w:hanging="414"/>
        <w:rPr>
          <w:b/>
          <w:bCs/>
          <w:i/>
          <w:iCs/>
          <w:sz w:val="22"/>
          <w:szCs w:val="22"/>
        </w:rPr>
      </w:pPr>
      <w:r w:rsidRPr="00D951B2">
        <w:rPr>
          <w:b/>
          <w:bCs/>
          <w:iCs/>
          <w:sz w:val="22"/>
          <w:szCs w:val="22"/>
        </w:rPr>
        <w:t>Social Security Legislation Amendment (Further Strengthening Job Seeker Compliance) Bill 2015</w:t>
      </w:r>
      <w:r w:rsidRPr="00D951B2">
        <w:rPr>
          <w:bCs/>
          <w:iCs/>
          <w:sz w:val="22"/>
          <w:szCs w:val="22"/>
        </w:rPr>
        <w:t xml:space="preserve">: whether consideration has been given to including in </w:t>
      </w:r>
      <w:r w:rsidR="00AB7E40">
        <w:rPr>
          <w:bCs/>
          <w:iCs/>
          <w:sz w:val="22"/>
          <w:szCs w:val="22"/>
        </w:rPr>
        <w:t xml:space="preserve">the </w:t>
      </w:r>
      <w:r w:rsidR="002A577B" w:rsidRPr="00D951B2">
        <w:rPr>
          <w:bCs/>
          <w:iCs/>
          <w:sz w:val="22"/>
          <w:szCs w:val="22"/>
        </w:rPr>
        <w:t>bill</w:t>
      </w:r>
      <w:r w:rsidRPr="00D951B2">
        <w:rPr>
          <w:bCs/>
          <w:iCs/>
          <w:sz w:val="22"/>
          <w:szCs w:val="22"/>
        </w:rPr>
        <w:t xml:space="preserve"> the matters that must be considered when deciding whether a job seeker has acted in </w:t>
      </w:r>
      <w:r w:rsidR="00D951B2" w:rsidRPr="00D951B2">
        <w:rPr>
          <w:bCs/>
          <w:iCs/>
          <w:sz w:val="22"/>
          <w:szCs w:val="22"/>
        </w:rPr>
        <w:t xml:space="preserve">an </w:t>
      </w:r>
      <w:r w:rsidRPr="00D951B2">
        <w:rPr>
          <w:bCs/>
          <w:iCs/>
          <w:sz w:val="22"/>
          <w:szCs w:val="22"/>
        </w:rPr>
        <w:t>appropriate manner at an appointment (rather than leaving this to delegated legislation or the discretion of the Secretary)</w:t>
      </w:r>
      <w:r w:rsidR="00D951B2">
        <w:rPr>
          <w:bCs/>
          <w:iCs/>
          <w:sz w:val="22"/>
          <w:szCs w:val="22"/>
        </w:rPr>
        <w:t xml:space="preserve"> </w:t>
      </w:r>
      <w:r w:rsidR="00D951B2" w:rsidRPr="007D3171">
        <w:rPr>
          <w:bCs/>
          <w:i/>
          <w:iCs/>
          <w:sz w:val="22"/>
          <w:szCs w:val="22"/>
          <w:lang w:val="en-GB"/>
        </w:rPr>
        <w:t>(</w:t>
      </w:r>
      <w:hyperlink r:id="rId23" w:history="1">
        <w:r w:rsidR="00D951B2" w:rsidRPr="007D3171">
          <w:rPr>
            <w:rStyle w:val="Hyperlink"/>
            <w:bCs/>
            <w:i/>
            <w:iCs/>
            <w:sz w:val="22"/>
            <w:szCs w:val="22"/>
            <w:lang w:val="en-GB"/>
          </w:rPr>
          <w:t>Alert Digest No. 10 of 2015</w:t>
        </w:r>
      </w:hyperlink>
      <w:r w:rsidR="00D951B2" w:rsidRPr="007D3171">
        <w:rPr>
          <w:bCs/>
          <w:i/>
          <w:iCs/>
          <w:sz w:val="22"/>
          <w:szCs w:val="22"/>
          <w:lang w:val="en-GB"/>
        </w:rPr>
        <w:t>)</w:t>
      </w:r>
      <w:r w:rsidR="00D951B2" w:rsidRPr="00D951B2">
        <w:rPr>
          <w:bCs/>
          <w:iCs/>
          <w:sz w:val="22"/>
          <w:szCs w:val="22"/>
        </w:rPr>
        <w:t>.</w:t>
      </w:r>
      <w:r w:rsidRPr="00D951B2">
        <w:rPr>
          <w:bCs/>
          <w:iCs/>
          <w:sz w:val="22"/>
          <w:szCs w:val="22"/>
        </w:rPr>
        <w:t xml:space="preserve"> </w:t>
      </w:r>
    </w:p>
    <w:p w:rsidR="00197963" w:rsidRPr="00D951B2" w:rsidRDefault="00197963" w:rsidP="00197963">
      <w:pPr>
        <w:pStyle w:val="Heading2"/>
        <w:spacing w:after="120" w:line="240" w:lineRule="auto"/>
        <w:rPr>
          <w:rFonts w:eastAsia="Times New Roman"/>
          <w:sz w:val="28"/>
          <w:szCs w:val="28"/>
        </w:rPr>
      </w:pPr>
      <w:r>
        <w:rPr>
          <w:rFonts w:eastAsia="Times New Roman"/>
          <w:sz w:val="28"/>
          <w:szCs w:val="28"/>
          <w:lang w:val="en-GB"/>
        </w:rPr>
        <w:t xml:space="preserve">Other </w:t>
      </w:r>
      <w:r w:rsidR="00CD1C3F">
        <w:rPr>
          <w:rFonts w:eastAsia="Times New Roman"/>
          <w:sz w:val="28"/>
          <w:szCs w:val="28"/>
          <w:lang w:val="en-GB"/>
        </w:rPr>
        <w:t xml:space="preserve">comments and other </w:t>
      </w:r>
      <w:r>
        <w:rPr>
          <w:rFonts w:eastAsia="Times New Roman"/>
          <w:sz w:val="28"/>
          <w:szCs w:val="28"/>
          <w:lang w:val="en-GB"/>
        </w:rPr>
        <w:t>responses received</w:t>
      </w:r>
    </w:p>
    <w:p w:rsidR="00311467" w:rsidRPr="00D951B2" w:rsidRDefault="00311467" w:rsidP="004574DB">
      <w:pPr>
        <w:pStyle w:val="Bullet"/>
        <w:numPr>
          <w:ilvl w:val="0"/>
          <w:numId w:val="5"/>
        </w:numPr>
        <w:spacing w:after="120" w:line="240" w:lineRule="auto"/>
        <w:ind w:left="426" w:hanging="426"/>
        <w:rPr>
          <w:iCs/>
          <w:sz w:val="22"/>
          <w:szCs w:val="22"/>
          <w:lang w:val="en-GB"/>
        </w:rPr>
      </w:pPr>
      <w:r w:rsidRPr="00D951B2">
        <w:rPr>
          <w:b/>
          <w:iCs/>
          <w:sz w:val="22"/>
          <w:szCs w:val="22"/>
          <w:lang w:val="en-GB"/>
        </w:rPr>
        <w:t>Australian Immunisation Register Bill 2015</w:t>
      </w:r>
      <w:r w:rsidR="00481D39" w:rsidRPr="00D951B2">
        <w:rPr>
          <w:iCs/>
          <w:sz w:val="22"/>
          <w:szCs w:val="22"/>
          <w:lang w:val="en-GB"/>
        </w:rPr>
        <w:t xml:space="preserve">: </w:t>
      </w:r>
      <w:r w:rsidR="007D3171">
        <w:rPr>
          <w:iCs/>
          <w:sz w:val="22"/>
          <w:szCs w:val="22"/>
          <w:lang w:val="en-GB"/>
        </w:rPr>
        <w:t xml:space="preserve"> T</w:t>
      </w:r>
      <w:r w:rsidR="00B57CCC" w:rsidRPr="00D951B2">
        <w:rPr>
          <w:iCs/>
          <w:sz w:val="22"/>
          <w:szCs w:val="22"/>
          <w:lang w:val="en-GB"/>
        </w:rPr>
        <w:t>he committee welcomed the Minister’s advice that she would specify the persons or persons to whom protected information could be released, however the committee noted that it would assist if such a limitation were included in the bill itself</w:t>
      </w:r>
      <w:r w:rsidR="007D3171">
        <w:rPr>
          <w:iCs/>
          <w:sz w:val="22"/>
          <w:szCs w:val="22"/>
          <w:lang w:val="en-GB"/>
        </w:rPr>
        <w:t>.</w:t>
      </w:r>
      <w:r w:rsidR="00B57CCC" w:rsidRPr="00D951B2">
        <w:rPr>
          <w:iCs/>
          <w:sz w:val="22"/>
          <w:szCs w:val="22"/>
          <w:lang w:val="en-GB"/>
        </w:rPr>
        <w:t xml:space="preserve"> </w:t>
      </w:r>
      <w:r w:rsidR="00B57CCC" w:rsidRPr="00D951B2">
        <w:rPr>
          <w:rStyle w:val="Italic"/>
          <w:rFonts w:eastAsia="Times New Roman"/>
          <w:color w:val="auto"/>
          <w:sz w:val="22"/>
          <w:szCs w:val="24"/>
          <w:lang w:val="en-GB"/>
        </w:rPr>
        <w:t>(</w:t>
      </w:r>
      <w:hyperlink r:id="rId24" w:history="1">
        <w:r w:rsidR="00B57CCC" w:rsidRPr="00D951B2">
          <w:rPr>
            <w:rStyle w:val="Hyperlink"/>
            <w:rFonts w:eastAsia="Times New Roman"/>
            <w:i/>
            <w:sz w:val="22"/>
            <w:szCs w:val="24"/>
            <w:lang w:val="en-GB"/>
          </w:rPr>
          <w:t>Eleventh Report of 2015</w:t>
        </w:r>
      </w:hyperlink>
      <w:r w:rsidR="00B57CCC" w:rsidRPr="00D951B2">
        <w:rPr>
          <w:rStyle w:val="Italic"/>
          <w:rFonts w:eastAsia="Times New Roman"/>
          <w:color w:val="auto"/>
          <w:sz w:val="22"/>
          <w:szCs w:val="24"/>
          <w:lang w:val="en-GB"/>
        </w:rPr>
        <w:t>)</w:t>
      </w:r>
    </w:p>
    <w:p w:rsidR="00481D39" w:rsidRPr="00D951B2" w:rsidRDefault="00481D39" w:rsidP="004574DB">
      <w:pPr>
        <w:pStyle w:val="Bullet"/>
        <w:numPr>
          <w:ilvl w:val="0"/>
          <w:numId w:val="5"/>
        </w:numPr>
        <w:spacing w:after="120" w:line="240" w:lineRule="auto"/>
        <w:ind w:left="426" w:hanging="426"/>
        <w:rPr>
          <w:iCs/>
          <w:sz w:val="22"/>
          <w:szCs w:val="22"/>
          <w:lang w:val="en-GB"/>
        </w:rPr>
      </w:pPr>
      <w:r w:rsidRPr="00D951B2">
        <w:rPr>
          <w:b/>
          <w:iCs/>
          <w:sz w:val="22"/>
          <w:szCs w:val="22"/>
          <w:lang w:val="en-GB"/>
        </w:rPr>
        <w:t>Medical Research Future Fund Bill 2015</w:t>
      </w:r>
      <w:r w:rsidRPr="00D951B2">
        <w:rPr>
          <w:iCs/>
          <w:sz w:val="22"/>
          <w:szCs w:val="22"/>
          <w:lang w:val="en-GB"/>
        </w:rPr>
        <w:t xml:space="preserve">: </w:t>
      </w:r>
      <w:r w:rsidR="007D3171">
        <w:rPr>
          <w:iCs/>
          <w:sz w:val="22"/>
          <w:szCs w:val="22"/>
          <w:lang w:val="en-GB"/>
        </w:rPr>
        <w:t xml:space="preserve"> T</w:t>
      </w:r>
      <w:r w:rsidRPr="00D951B2">
        <w:rPr>
          <w:iCs/>
          <w:sz w:val="22"/>
          <w:szCs w:val="22"/>
          <w:lang w:val="en-GB"/>
        </w:rPr>
        <w:t xml:space="preserve">he Minister advised that disallowance of the Australian Medical Research and Innovation </w:t>
      </w:r>
      <w:r w:rsidRPr="00D951B2">
        <w:rPr>
          <w:i/>
          <w:iCs/>
          <w:sz w:val="22"/>
          <w:szCs w:val="22"/>
          <w:lang w:val="en-GB"/>
        </w:rPr>
        <w:t>Strategy</w:t>
      </w:r>
      <w:r w:rsidRPr="00D951B2">
        <w:rPr>
          <w:iCs/>
          <w:sz w:val="22"/>
          <w:szCs w:val="22"/>
          <w:lang w:val="en-GB"/>
        </w:rPr>
        <w:t xml:space="preserve"> and </w:t>
      </w:r>
      <w:r w:rsidRPr="00D951B2">
        <w:rPr>
          <w:i/>
          <w:iCs/>
          <w:sz w:val="22"/>
          <w:szCs w:val="22"/>
          <w:lang w:val="en-GB"/>
        </w:rPr>
        <w:t>Priorities</w:t>
      </w:r>
      <w:r w:rsidRPr="00D951B2">
        <w:rPr>
          <w:iCs/>
          <w:sz w:val="22"/>
          <w:szCs w:val="22"/>
          <w:lang w:val="en-GB"/>
        </w:rPr>
        <w:t xml:space="preserve"> would affect the board’s ability to carry out its responsibilities with full independence and might cause funding uncertainty. The committee noted this advice and made no further comment.  </w:t>
      </w:r>
      <w:r w:rsidRPr="00D951B2">
        <w:rPr>
          <w:rStyle w:val="Italic"/>
          <w:rFonts w:eastAsia="Times New Roman"/>
          <w:color w:val="auto"/>
          <w:sz w:val="22"/>
          <w:szCs w:val="22"/>
          <w:lang w:val="en-GB"/>
        </w:rPr>
        <w:t>(</w:t>
      </w:r>
      <w:hyperlink r:id="rId25" w:history="1">
        <w:r w:rsidRPr="00D951B2">
          <w:rPr>
            <w:rStyle w:val="Hyperlink"/>
            <w:rFonts w:eastAsia="Times New Roman"/>
            <w:i/>
            <w:sz w:val="22"/>
            <w:szCs w:val="22"/>
            <w:lang w:val="en-GB"/>
          </w:rPr>
          <w:t>Tenth Report of 2015</w:t>
        </w:r>
      </w:hyperlink>
      <w:r w:rsidRPr="00D951B2">
        <w:rPr>
          <w:rStyle w:val="Italic"/>
          <w:rFonts w:eastAsia="Times New Roman"/>
          <w:color w:val="auto"/>
          <w:sz w:val="22"/>
          <w:szCs w:val="22"/>
          <w:lang w:val="en-GB"/>
        </w:rPr>
        <w:t>)</w:t>
      </w:r>
    </w:p>
    <w:p w:rsidR="002A577B" w:rsidRPr="00D951B2" w:rsidRDefault="002A577B" w:rsidP="004574DB">
      <w:pPr>
        <w:pStyle w:val="Bullet"/>
        <w:numPr>
          <w:ilvl w:val="0"/>
          <w:numId w:val="5"/>
        </w:numPr>
        <w:spacing w:after="120" w:line="240" w:lineRule="auto"/>
        <w:ind w:left="426" w:hanging="426"/>
        <w:rPr>
          <w:iCs/>
          <w:sz w:val="22"/>
          <w:szCs w:val="22"/>
          <w:lang w:val="en-GB"/>
        </w:rPr>
      </w:pPr>
      <w:r w:rsidRPr="00D951B2">
        <w:rPr>
          <w:b/>
          <w:iCs/>
          <w:sz w:val="22"/>
          <w:szCs w:val="22"/>
          <w:lang w:val="en-GB"/>
        </w:rPr>
        <w:t>Social Services Legislation Amendment (No. 2) Bill 2015</w:t>
      </w:r>
      <w:r w:rsidRPr="00D951B2">
        <w:rPr>
          <w:iCs/>
          <w:sz w:val="22"/>
          <w:szCs w:val="22"/>
          <w:lang w:val="en-GB"/>
        </w:rPr>
        <w:t>:</w:t>
      </w:r>
      <w:r w:rsidR="007D3171">
        <w:rPr>
          <w:iCs/>
          <w:sz w:val="22"/>
          <w:szCs w:val="22"/>
          <w:lang w:val="en-GB"/>
        </w:rPr>
        <w:t xml:space="preserve"> </w:t>
      </w:r>
      <w:r w:rsidRPr="00D951B2">
        <w:rPr>
          <w:iCs/>
          <w:sz w:val="22"/>
          <w:szCs w:val="22"/>
          <w:lang w:val="en-GB"/>
        </w:rPr>
        <w:t xml:space="preserve"> </w:t>
      </w:r>
      <w:r w:rsidR="007D3171">
        <w:rPr>
          <w:iCs/>
          <w:sz w:val="22"/>
          <w:szCs w:val="22"/>
          <w:lang w:val="en-GB"/>
        </w:rPr>
        <w:t>T</w:t>
      </w:r>
      <w:r w:rsidR="00E75FD9">
        <w:rPr>
          <w:iCs/>
          <w:sz w:val="22"/>
          <w:szCs w:val="22"/>
          <w:lang w:val="en-GB"/>
        </w:rPr>
        <w:t xml:space="preserve">he committee welcomed </w:t>
      </w:r>
      <w:r w:rsidR="00162E62" w:rsidRPr="00D951B2">
        <w:rPr>
          <w:iCs/>
          <w:sz w:val="22"/>
          <w:szCs w:val="22"/>
          <w:lang w:val="en-GB"/>
        </w:rPr>
        <w:t xml:space="preserve">government amendments to this bill which ensure that measures in the bill do not operate retrospectively </w:t>
      </w:r>
      <w:r w:rsidR="00162E62" w:rsidRPr="00D951B2">
        <w:rPr>
          <w:rStyle w:val="Italic"/>
          <w:sz w:val="22"/>
          <w:szCs w:val="22"/>
          <w:lang w:val="en-GB"/>
        </w:rPr>
        <w:t>(</w:t>
      </w:r>
      <w:hyperlink r:id="rId26" w:history="1">
        <w:r w:rsidR="00162E62" w:rsidRPr="00D951B2">
          <w:rPr>
            <w:rStyle w:val="Hyperlink"/>
            <w:i/>
            <w:sz w:val="22"/>
            <w:szCs w:val="22"/>
            <w:lang w:val="en-GB"/>
          </w:rPr>
          <w:t>Alert Digest No. 10 of 2015</w:t>
        </w:r>
      </w:hyperlink>
      <w:r w:rsidR="00162E62" w:rsidRPr="00D951B2">
        <w:rPr>
          <w:rStyle w:val="Italic"/>
          <w:sz w:val="22"/>
          <w:szCs w:val="22"/>
          <w:lang w:val="en-GB"/>
        </w:rPr>
        <w:t>)</w:t>
      </w:r>
    </w:p>
    <w:p w:rsidR="00610206" w:rsidRPr="00610206" w:rsidRDefault="00CD1C3F" w:rsidP="004574DB">
      <w:pPr>
        <w:pStyle w:val="Bullet"/>
        <w:numPr>
          <w:ilvl w:val="0"/>
          <w:numId w:val="5"/>
        </w:numPr>
        <w:spacing w:after="120" w:line="240" w:lineRule="auto"/>
        <w:ind w:left="426" w:hanging="426"/>
        <w:rPr>
          <w:iCs/>
          <w:sz w:val="22"/>
          <w:szCs w:val="22"/>
          <w:lang w:val="en-GB"/>
        </w:rPr>
      </w:pPr>
      <w:r w:rsidRPr="00CD1C3F">
        <w:rPr>
          <w:b/>
          <w:iCs/>
          <w:sz w:val="22"/>
          <w:szCs w:val="22"/>
          <w:lang w:val="en-GB"/>
        </w:rPr>
        <w:t xml:space="preserve">Social Services Legislation Amendment (Youth Employment) </w:t>
      </w:r>
      <w:r w:rsidR="00DB4AE7" w:rsidRPr="00811362">
        <w:rPr>
          <w:b/>
          <w:iCs/>
          <w:sz w:val="22"/>
          <w:szCs w:val="22"/>
          <w:lang w:val="en-GB"/>
        </w:rPr>
        <w:t>Bill 201</w:t>
      </w:r>
      <w:r w:rsidR="00E3305A">
        <w:rPr>
          <w:b/>
          <w:iCs/>
          <w:sz w:val="22"/>
          <w:szCs w:val="22"/>
          <w:lang w:val="en-GB"/>
        </w:rPr>
        <w:t>5</w:t>
      </w:r>
      <w:r w:rsidR="00311467">
        <w:rPr>
          <w:iCs/>
          <w:sz w:val="22"/>
          <w:szCs w:val="22"/>
          <w:lang w:val="en-GB"/>
        </w:rPr>
        <w:t>:</w:t>
      </w:r>
      <w:r>
        <w:rPr>
          <w:iCs/>
          <w:sz w:val="22"/>
          <w:szCs w:val="22"/>
          <w:lang w:val="en-GB"/>
        </w:rPr>
        <w:t xml:space="preserve"> </w:t>
      </w:r>
      <w:r w:rsidR="00481D39">
        <w:rPr>
          <w:iCs/>
          <w:sz w:val="22"/>
          <w:szCs w:val="22"/>
          <w:lang w:val="en-GB"/>
        </w:rPr>
        <w:t xml:space="preserve">The committee </w:t>
      </w:r>
      <w:r>
        <w:rPr>
          <w:iCs/>
          <w:sz w:val="22"/>
          <w:szCs w:val="22"/>
          <w:lang w:val="en-GB"/>
        </w:rPr>
        <w:t>restat</w:t>
      </w:r>
      <w:r w:rsidR="00FE3A8D">
        <w:rPr>
          <w:iCs/>
          <w:sz w:val="22"/>
          <w:szCs w:val="22"/>
          <w:lang w:val="en-GB"/>
        </w:rPr>
        <w:t>ed</w:t>
      </w:r>
      <w:r>
        <w:rPr>
          <w:iCs/>
          <w:sz w:val="22"/>
          <w:szCs w:val="22"/>
          <w:lang w:val="en-GB"/>
        </w:rPr>
        <w:t xml:space="preserve"> previous comments </w:t>
      </w:r>
      <w:r w:rsidR="00D72DD2">
        <w:rPr>
          <w:iCs/>
          <w:sz w:val="22"/>
          <w:szCs w:val="22"/>
          <w:lang w:val="en-GB"/>
        </w:rPr>
        <w:t>about</w:t>
      </w:r>
      <w:r>
        <w:rPr>
          <w:iCs/>
          <w:sz w:val="22"/>
          <w:szCs w:val="22"/>
          <w:lang w:val="en-GB"/>
        </w:rPr>
        <w:t xml:space="preserve"> the delegation of legislative power </w:t>
      </w:r>
      <w:r w:rsidR="00D72DD2">
        <w:rPr>
          <w:iCs/>
          <w:sz w:val="22"/>
          <w:szCs w:val="22"/>
          <w:lang w:val="en-GB"/>
        </w:rPr>
        <w:t xml:space="preserve">in this bill </w:t>
      </w:r>
      <w:r w:rsidR="00FE3A8D">
        <w:rPr>
          <w:iCs/>
          <w:sz w:val="22"/>
          <w:szCs w:val="22"/>
          <w:lang w:val="en-GB"/>
        </w:rPr>
        <w:t xml:space="preserve">relating to determining the existence of a </w:t>
      </w:r>
      <w:r w:rsidR="007D3171">
        <w:rPr>
          <w:iCs/>
          <w:sz w:val="22"/>
          <w:szCs w:val="22"/>
          <w:lang w:val="en-GB"/>
        </w:rPr>
        <w:t>‘</w:t>
      </w:r>
      <w:r w:rsidR="00FE3A8D">
        <w:rPr>
          <w:iCs/>
          <w:sz w:val="22"/>
          <w:szCs w:val="22"/>
          <w:lang w:val="en-GB"/>
        </w:rPr>
        <w:t xml:space="preserve">personal financial </w:t>
      </w:r>
      <w:r w:rsidR="00FE3A8D" w:rsidRPr="00FE3A8D">
        <w:rPr>
          <w:iCs/>
          <w:sz w:val="22"/>
          <w:szCs w:val="22"/>
          <w:lang w:val="en-GB"/>
        </w:rPr>
        <w:t>crisis</w:t>
      </w:r>
      <w:r w:rsidR="007D3171">
        <w:rPr>
          <w:iCs/>
          <w:sz w:val="22"/>
          <w:szCs w:val="22"/>
          <w:lang w:val="en-GB"/>
        </w:rPr>
        <w:t>’.</w:t>
      </w:r>
      <w:r w:rsidR="000E0DF6">
        <w:rPr>
          <w:b/>
          <w:iCs/>
          <w:sz w:val="22"/>
          <w:szCs w:val="22"/>
          <w:lang w:val="en-GB"/>
        </w:rPr>
        <w:t xml:space="preserve"> </w:t>
      </w:r>
      <w:r w:rsidR="00FE3A8D" w:rsidRPr="00311467">
        <w:rPr>
          <w:rStyle w:val="Italic"/>
          <w:sz w:val="22"/>
          <w:szCs w:val="22"/>
          <w:lang w:val="en-GB"/>
        </w:rPr>
        <w:t>(</w:t>
      </w:r>
      <w:hyperlink r:id="rId27" w:history="1">
        <w:r w:rsidR="00FE3A8D" w:rsidRPr="00311467">
          <w:rPr>
            <w:rStyle w:val="Hyperlink"/>
            <w:i/>
            <w:sz w:val="22"/>
            <w:szCs w:val="22"/>
            <w:lang w:val="en-GB"/>
          </w:rPr>
          <w:t>Alert Digest No. 11 of 2015</w:t>
        </w:r>
      </w:hyperlink>
      <w:r w:rsidR="00FE3A8D" w:rsidRPr="00311467">
        <w:rPr>
          <w:rStyle w:val="Italic"/>
          <w:sz w:val="22"/>
          <w:szCs w:val="22"/>
          <w:lang w:val="en-GB"/>
        </w:rPr>
        <w:t>)</w:t>
      </w:r>
    </w:p>
    <w:p w:rsidR="00DB4AE7" w:rsidRPr="00FE3A8D" w:rsidRDefault="00FE3A8D" w:rsidP="004574DB">
      <w:pPr>
        <w:pStyle w:val="Bullet"/>
        <w:numPr>
          <w:ilvl w:val="0"/>
          <w:numId w:val="5"/>
        </w:numPr>
        <w:spacing w:after="120" w:line="240" w:lineRule="auto"/>
        <w:ind w:left="426" w:hanging="426"/>
        <w:rPr>
          <w:bCs/>
          <w:i/>
          <w:iCs/>
          <w:sz w:val="22"/>
          <w:szCs w:val="22"/>
        </w:rPr>
      </w:pPr>
      <w:r w:rsidRPr="00FE3A8D">
        <w:rPr>
          <w:b/>
          <w:iCs/>
          <w:sz w:val="22"/>
          <w:szCs w:val="22"/>
          <w:lang w:val="en-GB"/>
        </w:rPr>
        <w:t xml:space="preserve">Superannuation Legislation Amendment (Trustee Governance) </w:t>
      </w:r>
      <w:r w:rsidR="005E62F3" w:rsidRPr="00811362">
        <w:rPr>
          <w:b/>
          <w:iCs/>
          <w:sz w:val="22"/>
          <w:szCs w:val="22"/>
          <w:lang w:val="en-GB"/>
        </w:rPr>
        <w:t>Bill 201</w:t>
      </w:r>
      <w:r w:rsidR="00E3305A">
        <w:rPr>
          <w:b/>
          <w:iCs/>
          <w:sz w:val="22"/>
          <w:szCs w:val="22"/>
          <w:lang w:val="en-GB"/>
        </w:rPr>
        <w:t>5</w:t>
      </w:r>
      <w:r w:rsidR="00311467">
        <w:rPr>
          <w:iCs/>
          <w:sz w:val="22"/>
          <w:szCs w:val="22"/>
          <w:lang w:val="en-GB"/>
        </w:rPr>
        <w:t>:</w:t>
      </w:r>
      <w:r w:rsidR="00481D39">
        <w:rPr>
          <w:iCs/>
          <w:sz w:val="22"/>
          <w:szCs w:val="22"/>
          <w:lang w:val="en-GB"/>
        </w:rPr>
        <w:t xml:space="preserve"> T</w:t>
      </w:r>
      <w:r>
        <w:rPr>
          <w:iCs/>
          <w:sz w:val="22"/>
          <w:szCs w:val="22"/>
          <w:lang w:val="en-GB"/>
        </w:rPr>
        <w:t>he explanatory memorandum included a detailed and useful explanation for the application of strict liability</w:t>
      </w:r>
      <w:r w:rsidR="007D3171">
        <w:rPr>
          <w:iCs/>
          <w:sz w:val="22"/>
          <w:szCs w:val="22"/>
          <w:lang w:val="en-GB"/>
        </w:rPr>
        <w:t xml:space="preserve">. </w:t>
      </w:r>
      <w:r w:rsidRPr="00311467">
        <w:rPr>
          <w:rStyle w:val="Italic"/>
          <w:sz w:val="22"/>
          <w:szCs w:val="22"/>
          <w:lang w:val="en-GB"/>
        </w:rPr>
        <w:t>(</w:t>
      </w:r>
      <w:hyperlink r:id="rId28" w:history="1">
        <w:r w:rsidRPr="00311467">
          <w:rPr>
            <w:rStyle w:val="Hyperlink"/>
            <w:i/>
            <w:sz w:val="22"/>
            <w:szCs w:val="22"/>
            <w:lang w:val="en-GB"/>
          </w:rPr>
          <w:t>Alert Digest No. 11 of 2015</w:t>
        </w:r>
      </w:hyperlink>
      <w:r w:rsidRPr="00311467">
        <w:rPr>
          <w:rStyle w:val="Italic"/>
          <w:sz w:val="22"/>
          <w:szCs w:val="22"/>
          <w:lang w:val="en-GB"/>
        </w:rPr>
        <w:t>)</w:t>
      </w:r>
    </w:p>
    <w:p w:rsidR="009436BA" w:rsidRPr="009436BA" w:rsidRDefault="009436BA" w:rsidP="004574DB">
      <w:pPr>
        <w:pStyle w:val="Bullet"/>
        <w:numPr>
          <w:ilvl w:val="0"/>
          <w:numId w:val="5"/>
        </w:numPr>
        <w:spacing w:after="120" w:line="240" w:lineRule="auto"/>
        <w:ind w:left="426" w:hanging="426"/>
        <w:rPr>
          <w:b/>
          <w:bCs/>
          <w:i/>
          <w:iCs/>
          <w:sz w:val="22"/>
          <w:szCs w:val="22"/>
        </w:rPr>
      </w:pPr>
      <w:r w:rsidRPr="009436BA">
        <w:rPr>
          <w:b/>
          <w:iCs/>
          <w:sz w:val="22"/>
          <w:szCs w:val="22"/>
          <w:lang w:val="en-GB"/>
        </w:rPr>
        <w:t>Tax and Superannuation Laws Amendment (2015 Measures No. 4</w:t>
      </w:r>
      <w:r>
        <w:rPr>
          <w:b/>
          <w:iCs/>
          <w:sz w:val="22"/>
          <w:szCs w:val="22"/>
          <w:lang w:val="en-GB"/>
        </w:rPr>
        <w:t xml:space="preserve">) </w:t>
      </w:r>
      <w:r w:rsidRPr="00811362">
        <w:rPr>
          <w:b/>
          <w:iCs/>
          <w:sz w:val="22"/>
          <w:szCs w:val="22"/>
          <w:lang w:val="en-GB"/>
        </w:rPr>
        <w:t>Bill 201</w:t>
      </w:r>
      <w:r>
        <w:rPr>
          <w:b/>
          <w:iCs/>
          <w:sz w:val="22"/>
          <w:szCs w:val="22"/>
          <w:lang w:val="en-GB"/>
        </w:rPr>
        <w:t>5</w:t>
      </w:r>
      <w:r w:rsidR="00311467">
        <w:rPr>
          <w:iCs/>
          <w:sz w:val="22"/>
          <w:szCs w:val="22"/>
          <w:lang w:val="en-GB"/>
        </w:rPr>
        <w:t>:</w:t>
      </w:r>
      <w:r>
        <w:rPr>
          <w:iCs/>
          <w:sz w:val="22"/>
          <w:szCs w:val="22"/>
          <w:lang w:val="en-GB"/>
        </w:rPr>
        <w:t xml:space="preserve"> </w:t>
      </w:r>
      <w:r w:rsidR="00481D39">
        <w:rPr>
          <w:iCs/>
          <w:sz w:val="22"/>
          <w:szCs w:val="22"/>
          <w:lang w:val="en-GB"/>
        </w:rPr>
        <w:t>T</w:t>
      </w:r>
      <w:r w:rsidR="00311467">
        <w:rPr>
          <w:iCs/>
          <w:sz w:val="22"/>
          <w:szCs w:val="22"/>
          <w:lang w:val="en-GB"/>
        </w:rPr>
        <w:t>he Minister advised that ‘</w:t>
      </w:r>
      <w:r w:rsidR="00404558">
        <w:rPr>
          <w:iCs/>
          <w:sz w:val="22"/>
          <w:szCs w:val="22"/>
          <w:lang w:val="en-GB"/>
        </w:rPr>
        <w:t>the Bill is not expected to have</w:t>
      </w:r>
      <w:r w:rsidR="00311467">
        <w:rPr>
          <w:iCs/>
          <w:sz w:val="22"/>
          <w:szCs w:val="22"/>
          <w:lang w:val="en-GB"/>
        </w:rPr>
        <w:t xml:space="preserve"> an adverse impact on taxpayers’</w:t>
      </w:r>
      <w:r w:rsidR="00404558">
        <w:rPr>
          <w:iCs/>
          <w:sz w:val="22"/>
          <w:szCs w:val="22"/>
          <w:lang w:val="en-GB"/>
        </w:rPr>
        <w:t>. The committee noted this information would have been helpful in the explanatory memorandum</w:t>
      </w:r>
      <w:r w:rsidR="007D3171">
        <w:rPr>
          <w:iCs/>
          <w:sz w:val="22"/>
          <w:szCs w:val="22"/>
          <w:lang w:val="en-GB"/>
        </w:rPr>
        <w:t>.</w:t>
      </w:r>
      <w:r w:rsidR="00311467">
        <w:rPr>
          <w:iCs/>
          <w:sz w:val="22"/>
          <w:szCs w:val="22"/>
          <w:lang w:val="en-GB"/>
        </w:rPr>
        <w:t xml:space="preserve"> </w:t>
      </w:r>
      <w:r w:rsidR="00311467" w:rsidRPr="00311467">
        <w:rPr>
          <w:rStyle w:val="Italic"/>
          <w:rFonts w:eastAsia="Times New Roman"/>
          <w:color w:val="auto"/>
          <w:sz w:val="22"/>
          <w:szCs w:val="24"/>
          <w:lang w:val="en-GB"/>
        </w:rPr>
        <w:t>(</w:t>
      </w:r>
      <w:hyperlink r:id="rId29" w:history="1">
        <w:r w:rsidR="00311467" w:rsidRPr="00311467">
          <w:rPr>
            <w:rStyle w:val="Hyperlink"/>
            <w:rFonts w:eastAsia="Times New Roman"/>
            <w:i/>
            <w:sz w:val="22"/>
            <w:szCs w:val="24"/>
            <w:lang w:val="en-GB"/>
          </w:rPr>
          <w:t>Eleventh Report of 2015</w:t>
        </w:r>
      </w:hyperlink>
      <w:r w:rsidR="00311467" w:rsidRPr="00311467">
        <w:rPr>
          <w:rStyle w:val="Italic"/>
          <w:rFonts w:eastAsia="Times New Roman"/>
          <w:color w:val="auto"/>
          <w:sz w:val="22"/>
          <w:szCs w:val="24"/>
          <w:lang w:val="en-GB"/>
        </w:rPr>
        <w:t>)</w:t>
      </w:r>
    </w:p>
    <w:p w:rsidR="00FE3A8D" w:rsidRPr="00311467" w:rsidRDefault="00FE3A8D" w:rsidP="004574DB">
      <w:pPr>
        <w:pStyle w:val="Bullet"/>
        <w:numPr>
          <w:ilvl w:val="0"/>
          <w:numId w:val="5"/>
        </w:numPr>
        <w:spacing w:after="0" w:line="240" w:lineRule="auto"/>
        <w:ind w:left="426" w:hanging="426"/>
        <w:rPr>
          <w:b/>
          <w:bCs/>
          <w:i/>
          <w:iCs/>
          <w:sz w:val="24"/>
          <w:szCs w:val="22"/>
        </w:rPr>
      </w:pPr>
      <w:r w:rsidRPr="00311467">
        <w:rPr>
          <w:b/>
          <w:sz w:val="22"/>
          <w:lang w:val="en-US"/>
        </w:rPr>
        <w:t>Tax Laws Amendment (Combating Multinational Tax Avoidance) Bill 2015</w:t>
      </w:r>
      <w:r w:rsidR="00311467">
        <w:rPr>
          <w:sz w:val="22"/>
          <w:lang w:val="en-US"/>
        </w:rPr>
        <w:t xml:space="preserve">: </w:t>
      </w:r>
      <w:r w:rsidR="00481D39">
        <w:rPr>
          <w:sz w:val="22"/>
          <w:lang w:val="en-US"/>
        </w:rPr>
        <w:t>T</w:t>
      </w:r>
      <w:r w:rsidRPr="00311467">
        <w:rPr>
          <w:sz w:val="22"/>
          <w:lang w:val="en-US"/>
        </w:rPr>
        <w:t>he bill seeks to apply 2015-2016 Budget measures retrospectively, but as the b</w:t>
      </w:r>
      <w:r w:rsidR="00D72DD2">
        <w:rPr>
          <w:sz w:val="22"/>
          <w:lang w:val="en-US"/>
        </w:rPr>
        <w:t>ill has been introduced within six</w:t>
      </w:r>
      <w:bookmarkStart w:id="0" w:name="_GoBack"/>
      <w:bookmarkEnd w:id="0"/>
      <w:r w:rsidRPr="00311467">
        <w:rPr>
          <w:sz w:val="22"/>
          <w:lang w:val="en-US"/>
        </w:rPr>
        <w:t xml:space="preserve"> months the approach is within the scope of Senate Resolution 44. </w:t>
      </w:r>
      <w:r w:rsidRPr="00311467">
        <w:rPr>
          <w:rStyle w:val="Italic"/>
          <w:sz w:val="22"/>
          <w:szCs w:val="20"/>
          <w:lang w:val="en-GB"/>
        </w:rPr>
        <w:t>(</w:t>
      </w:r>
      <w:hyperlink r:id="rId30" w:history="1">
        <w:r w:rsidRPr="00311467">
          <w:rPr>
            <w:rStyle w:val="Hyperlink"/>
            <w:i/>
            <w:sz w:val="22"/>
            <w:szCs w:val="20"/>
            <w:lang w:val="en-GB"/>
          </w:rPr>
          <w:t>Alert Digest No. 11 of 2015</w:t>
        </w:r>
      </w:hyperlink>
      <w:r w:rsidRPr="00311467">
        <w:rPr>
          <w:rStyle w:val="Italic"/>
          <w:sz w:val="22"/>
          <w:szCs w:val="20"/>
          <w:lang w:val="en-GB"/>
        </w:rPr>
        <w:t>)</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Ms Toni Dawes, Secretary, Senate Scrutiny of Bills Committee T: 02 6277 3050, E:</w:t>
      </w:r>
      <w:r>
        <w:rPr>
          <w:rFonts w:ascii="Georgia" w:hAnsi="Georgia"/>
          <w:color w:val="372C21"/>
          <w:sz w:val="20"/>
          <w:szCs w:val="20"/>
          <w:lang w:val="en-GB"/>
        </w:rPr>
        <w:t xml:space="preserve"> </w:t>
      </w:r>
      <w:hyperlink r:id="rId31"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32"/>
      <w:headerReference w:type="default" r:id="rId33"/>
      <w:headerReference w:type="first" r:id="rId34"/>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D9" w:rsidRDefault="00E75FD9" w:rsidP="004470F2">
      <w:pPr>
        <w:spacing w:after="0" w:line="240" w:lineRule="auto"/>
      </w:pPr>
      <w:r>
        <w:separator/>
      </w:r>
    </w:p>
  </w:endnote>
  <w:endnote w:type="continuationSeparator" w:id="0">
    <w:p w:rsidR="00E75FD9" w:rsidRDefault="00E75FD9"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D9" w:rsidRDefault="00E75FD9" w:rsidP="004470F2">
      <w:pPr>
        <w:spacing w:after="0" w:line="240" w:lineRule="auto"/>
      </w:pPr>
      <w:r>
        <w:separator/>
      </w:r>
    </w:p>
  </w:footnote>
  <w:footnote w:type="continuationSeparator" w:id="0">
    <w:p w:rsidR="00E75FD9" w:rsidRDefault="00E75FD9"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D9" w:rsidRDefault="00E75F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D9" w:rsidRDefault="00E75F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D9" w:rsidRDefault="00E75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360" w:hanging="360"/>
      </w:pPr>
      <w:rPr>
        <w:rFonts w:ascii="Symbol" w:hAnsi="Symbo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360" w:hanging="360"/>
      </w:pPr>
      <w:rPr>
        <w:rFonts w:ascii="Symbol" w:hAnsi="Symbol" w:hint="default"/>
      </w:rPr>
    </w:lvl>
    <w:lvl w:ilvl="1" w:tplc="0C090009">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372" w:hanging="360"/>
      </w:pPr>
      <w:rPr>
        <w:rFonts w:ascii="Symbol" w:hAnsi="Symbol" w:hint="default"/>
        <w:sz w:val="24"/>
      </w:rPr>
    </w:lvl>
    <w:lvl w:ilvl="1" w:tplc="0C090003">
      <w:start w:val="1"/>
      <w:numFmt w:val="bullet"/>
      <w:lvlText w:val="o"/>
      <w:lvlJc w:val="left"/>
      <w:pPr>
        <w:ind w:left="1092" w:hanging="360"/>
      </w:pPr>
      <w:rPr>
        <w:rFonts w:ascii="Courier New" w:hAnsi="Courier New" w:cs="Courier New" w:hint="default"/>
      </w:rPr>
    </w:lvl>
    <w:lvl w:ilvl="2" w:tplc="0C090005">
      <w:start w:val="1"/>
      <w:numFmt w:val="bullet"/>
      <w:lvlText w:val=""/>
      <w:lvlJc w:val="left"/>
      <w:pPr>
        <w:ind w:left="1812" w:hanging="360"/>
      </w:pPr>
      <w:rPr>
        <w:rFonts w:ascii="Wingdings" w:hAnsi="Wingdings" w:hint="default"/>
      </w:rPr>
    </w:lvl>
    <w:lvl w:ilvl="3" w:tplc="0C090001">
      <w:start w:val="1"/>
      <w:numFmt w:val="bullet"/>
      <w:lvlText w:val=""/>
      <w:lvlJc w:val="left"/>
      <w:pPr>
        <w:ind w:left="2532" w:hanging="360"/>
      </w:pPr>
      <w:rPr>
        <w:rFonts w:ascii="Symbol" w:hAnsi="Symbol" w:hint="default"/>
      </w:rPr>
    </w:lvl>
    <w:lvl w:ilvl="4" w:tplc="0C090003">
      <w:start w:val="1"/>
      <w:numFmt w:val="bullet"/>
      <w:lvlText w:val="o"/>
      <w:lvlJc w:val="left"/>
      <w:pPr>
        <w:ind w:left="3252" w:hanging="360"/>
      </w:pPr>
      <w:rPr>
        <w:rFonts w:ascii="Courier New" w:hAnsi="Courier New" w:cs="Courier New" w:hint="default"/>
      </w:rPr>
    </w:lvl>
    <w:lvl w:ilvl="5" w:tplc="0C090005">
      <w:start w:val="1"/>
      <w:numFmt w:val="bullet"/>
      <w:lvlText w:val=""/>
      <w:lvlJc w:val="left"/>
      <w:pPr>
        <w:ind w:left="3972" w:hanging="360"/>
      </w:pPr>
      <w:rPr>
        <w:rFonts w:ascii="Wingdings" w:hAnsi="Wingdings" w:hint="default"/>
      </w:rPr>
    </w:lvl>
    <w:lvl w:ilvl="6" w:tplc="0C090001">
      <w:start w:val="1"/>
      <w:numFmt w:val="bullet"/>
      <w:lvlText w:val=""/>
      <w:lvlJc w:val="left"/>
      <w:pPr>
        <w:ind w:left="4692" w:hanging="360"/>
      </w:pPr>
      <w:rPr>
        <w:rFonts w:ascii="Symbol" w:hAnsi="Symbol" w:hint="default"/>
      </w:rPr>
    </w:lvl>
    <w:lvl w:ilvl="7" w:tplc="0C090003">
      <w:start w:val="1"/>
      <w:numFmt w:val="bullet"/>
      <w:lvlText w:val="o"/>
      <w:lvlJc w:val="left"/>
      <w:pPr>
        <w:ind w:left="5412" w:hanging="360"/>
      </w:pPr>
      <w:rPr>
        <w:rFonts w:ascii="Courier New" w:hAnsi="Courier New" w:cs="Courier New" w:hint="default"/>
      </w:rPr>
    </w:lvl>
    <w:lvl w:ilvl="8" w:tplc="0C090005">
      <w:start w:val="1"/>
      <w:numFmt w:val="bullet"/>
      <w:lvlText w:val=""/>
      <w:lvlJc w:val="left"/>
      <w:pPr>
        <w:ind w:left="6132"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mailMerge>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A674A"/>
    <w:rsid w:val="000C7799"/>
    <w:rsid w:val="000D2978"/>
    <w:rsid w:val="000D5BE5"/>
    <w:rsid w:val="000E0DF6"/>
    <w:rsid w:val="00162E62"/>
    <w:rsid w:val="00166FDA"/>
    <w:rsid w:val="00197963"/>
    <w:rsid w:val="001B50C0"/>
    <w:rsid w:val="001C117D"/>
    <w:rsid w:val="001C229D"/>
    <w:rsid w:val="001F7B08"/>
    <w:rsid w:val="00290028"/>
    <w:rsid w:val="002A577B"/>
    <w:rsid w:val="002A6292"/>
    <w:rsid w:val="002B62F0"/>
    <w:rsid w:val="002C18F9"/>
    <w:rsid w:val="002C4A36"/>
    <w:rsid w:val="002C6824"/>
    <w:rsid w:val="00311467"/>
    <w:rsid w:val="003210AB"/>
    <w:rsid w:val="00345D2C"/>
    <w:rsid w:val="003476C5"/>
    <w:rsid w:val="00350129"/>
    <w:rsid w:val="00385B78"/>
    <w:rsid w:val="003871A9"/>
    <w:rsid w:val="003A6F30"/>
    <w:rsid w:val="00404558"/>
    <w:rsid w:val="004470F2"/>
    <w:rsid w:val="004574DB"/>
    <w:rsid w:val="0047621B"/>
    <w:rsid w:val="00480E06"/>
    <w:rsid w:val="00481D39"/>
    <w:rsid w:val="00484052"/>
    <w:rsid w:val="00485D0E"/>
    <w:rsid w:val="004A34DF"/>
    <w:rsid w:val="00511B11"/>
    <w:rsid w:val="005866EE"/>
    <w:rsid w:val="005E1A38"/>
    <w:rsid w:val="005E62F3"/>
    <w:rsid w:val="005F0A10"/>
    <w:rsid w:val="00602D18"/>
    <w:rsid w:val="00607C3B"/>
    <w:rsid w:val="00610206"/>
    <w:rsid w:val="0061086F"/>
    <w:rsid w:val="00610DA9"/>
    <w:rsid w:val="006218B9"/>
    <w:rsid w:val="006673D0"/>
    <w:rsid w:val="006A6A59"/>
    <w:rsid w:val="006B4D5B"/>
    <w:rsid w:val="006C4E55"/>
    <w:rsid w:val="006E1B3E"/>
    <w:rsid w:val="00702655"/>
    <w:rsid w:val="00731ED6"/>
    <w:rsid w:val="0075013D"/>
    <w:rsid w:val="00757F9C"/>
    <w:rsid w:val="00772D23"/>
    <w:rsid w:val="007D1DBF"/>
    <w:rsid w:val="007D3171"/>
    <w:rsid w:val="00805FB0"/>
    <w:rsid w:val="00811362"/>
    <w:rsid w:val="008119FF"/>
    <w:rsid w:val="00817657"/>
    <w:rsid w:val="008475FD"/>
    <w:rsid w:val="0091191F"/>
    <w:rsid w:val="00937D60"/>
    <w:rsid w:val="00943614"/>
    <w:rsid w:val="009436BA"/>
    <w:rsid w:val="009714E5"/>
    <w:rsid w:val="00971745"/>
    <w:rsid w:val="00977144"/>
    <w:rsid w:val="00983EE0"/>
    <w:rsid w:val="009A4615"/>
    <w:rsid w:val="009B43BC"/>
    <w:rsid w:val="009D41EE"/>
    <w:rsid w:val="00A379C8"/>
    <w:rsid w:val="00A410E1"/>
    <w:rsid w:val="00A4516C"/>
    <w:rsid w:val="00A64F83"/>
    <w:rsid w:val="00A86D8F"/>
    <w:rsid w:val="00A96B94"/>
    <w:rsid w:val="00AA0346"/>
    <w:rsid w:val="00AB7E40"/>
    <w:rsid w:val="00AE794A"/>
    <w:rsid w:val="00AF477B"/>
    <w:rsid w:val="00B13BB3"/>
    <w:rsid w:val="00B23221"/>
    <w:rsid w:val="00B3427B"/>
    <w:rsid w:val="00B36DE9"/>
    <w:rsid w:val="00B57CCC"/>
    <w:rsid w:val="00B74B20"/>
    <w:rsid w:val="00B76A32"/>
    <w:rsid w:val="00B97586"/>
    <w:rsid w:val="00BC53FD"/>
    <w:rsid w:val="00BF00A5"/>
    <w:rsid w:val="00BF7761"/>
    <w:rsid w:val="00C10355"/>
    <w:rsid w:val="00C128AB"/>
    <w:rsid w:val="00C2267A"/>
    <w:rsid w:val="00C3004F"/>
    <w:rsid w:val="00C5010F"/>
    <w:rsid w:val="00C80366"/>
    <w:rsid w:val="00CD1C3F"/>
    <w:rsid w:val="00CF44A7"/>
    <w:rsid w:val="00D00415"/>
    <w:rsid w:val="00D005E4"/>
    <w:rsid w:val="00D362A6"/>
    <w:rsid w:val="00D55A17"/>
    <w:rsid w:val="00D72DD2"/>
    <w:rsid w:val="00D92E99"/>
    <w:rsid w:val="00D931B7"/>
    <w:rsid w:val="00D951B2"/>
    <w:rsid w:val="00DB4AE7"/>
    <w:rsid w:val="00DC0CE5"/>
    <w:rsid w:val="00DF745B"/>
    <w:rsid w:val="00DF7565"/>
    <w:rsid w:val="00E02F9B"/>
    <w:rsid w:val="00E16857"/>
    <w:rsid w:val="00E3305A"/>
    <w:rsid w:val="00E45F38"/>
    <w:rsid w:val="00E46B72"/>
    <w:rsid w:val="00E62D2A"/>
    <w:rsid w:val="00E72246"/>
    <w:rsid w:val="00E75FD9"/>
    <w:rsid w:val="00EA126F"/>
    <w:rsid w:val="00EB418F"/>
    <w:rsid w:val="00EB730F"/>
    <w:rsid w:val="00EE5560"/>
    <w:rsid w:val="00EE560C"/>
    <w:rsid w:val="00F01C61"/>
    <w:rsid w:val="00F21A88"/>
    <w:rsid w:val="00F23CAB"/>
    <w:rsid w:val="00F30929"/>
    <w:rsid w:val="00F47467"/>
    <w:rsid w:val="00F50468"/>
    <w:rsid w:val="00F50771"/>
    <w:rsid w:val="00F553BC"/>
    <w:rsid w:val="00FA5F54"/>
    <w:rsid w:val="00FD3CE6"/>
    <w:rsid w:val="00FE3A8D"/>
    <w:rsid w:val="00FE4D30"/>
    <w:rsid w:val="00FF7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FF7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 w:type="paragraph" w:styleId="ListParagraph">
    <w:name w:val="List Paragraph"/>
    <w:basedOn w:val="Normal"/>
    <w:uiPriority w:val="34"/>
    <w:qFormat/>
    <w:rsid w:val="00FF7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Alerts_Digests/2015/index" TargetMode="External"/><Relationship Id="rId26" Type="http://schemas.openxmlformats.org/officeDocument/2006/relationships/hyperlink" Target="http://www.aph.gov.au/Parliamentary_Business/Committees/Senate/Scrutiny_of_Bills/Alerts_Digests/2015/index" TargetMode="Externa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5/index"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hyperlink" Target="http://www.aph.gov.au/Parliamentary_Business/Committees/Senate/Scrutiny_of_Bills/Reports/2015/inde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http://www.aph.gov.au/Parliamentary_Business/Committees/Senate/Scrutiny_of_Bills/Alerts_Digests/2015/index" TargetMode="External"/><Relationship Id="rId29" Type="http://schemas.openxmlformats.org/officeDocument/2006/relationships/hyperlink" Target="http://www.aph.gov.au/Parliamentary_Business/Committees/Senate/Scrutiny_of_Bills/Reports/2015/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hyperlink" Target="http://www.aph.gov.au/Parliamentary_Business/Committees/Senate/Scrutiny_of_Bills/Reports/2015/index"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hyperlink" Target="http://www.aph.gov.au/Parliamentary_Business/Committees/Senate/Scrutiny_of_Bills/Alerts_Digests/2015/index" TargetMode="External"/><Relationship Id="rId28" Type="http://schemas.openxmlformats.org/officeDocument/2006/relationships/hyperlink" Target="http://www.aph.gov.au/Parliamentary_Business/Committees/Senate/Scrutiny_of_Bills/Alerts_Digests/2015/index" TargetMode="External"/><Relationship Id="rId36"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31" Type="http://schemas.openxmlformats.org/officeDocument/2006/relationships/hyperlink" Target="mailto:scrutiny.sen@aph.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hyperlink" Target="http://www.aph.gov.au/Parliamentary_Business/Committees/Senate/Scrutiny_of_Bills/Alerts_Digests/2015/index" TargetMode="External"/><Relationship Id="rId27" Type="http://schemas.openxmlformats.org/officeDocument/2006/relationships/hyperlink" Target="http://www.aph.gov.au/Parliamentary_Business/Committees/Senate/Scrutiny_of_Bills/Alerts_Digests/2015/index" TargetMode="External"/><Relationship Id="rId30" Type="http://schemas.openxmlformats.org/officeDocument/2006/relationships/hyperlink" Target="http://www.aph.gov.au/Parliamentary_Business/Committees/Senate/Scrutiny_of_Bills/Alerts_Digests/2015/inde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9986-E38F-48F9-9594-1DCABBE8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Glenn Ryall</cp:lastModifiedBy>
  <cp:revision>43</cp:revision>
  <cp:lastPrinted>2015-10-15T23:08:00Z</cp:lastPrinted>
  <dcterms:created xsi:type="dcterms:W3CDTF">2015-09-14T00:52:00Z</dcterms:created>
  <dcterms:modified xsi:type="dcterms:W3CDTF">2015-10-16T00:05:00Z</dcterms:modified>
</cp:coreProperties>
</file>