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372BED">
        <w:rPr>
          <w:sz w:val="24"/>
          <w:szCs w:val="24"/>
        </w:rPr>
        <w:t>13</w:t>
      </w:r>
      <w:r>
        <w:rPr>
          <w:sz w:val="24"/>
          <w:szCs w:val="24"/>
        </w:rPr>
        <w:t xml:space="preserve"> of 201</w:t>
      </w:r>
      <w:r w:rsidR="00AB1147">
        <w:rPr>
          <w:sz w:val="24"/>
          <w:szCs w:val="24"/>
        </w:rPr>
        <w:t>4</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372BED">
        <w:rPr>
          <w:sz w:val="28"/>
        </w:rPr>
        <w:t>1 October</w:t>
      </w:r>
      <w:r w:rsidR="00AB1147">
        <w:rPr>
          <w:sz w:val="28"/>
        </w:rPr>
        <w:t xml:space="preserve"> </w:t>
      </w:r>
      <w:r w:rsidRPr="00BF4D76">
        <w:rPr>
          <w:rFonts w:ascii="Frutiger 55 roman" w:hAnsi="Frutiger 55 roman" w:cs="Calibri"/>
          <w:sz w:val="28"/>
        </w:rPr>
        <w:t>201</w:t>
      </w:r>
      <w:r w:rsidR="00AB1147">
        <w:rPr>
          <w:rFonts w:ascii="Frutiger 55 roman" w:hAnsi="Frutiger 55 roman" w:cs="Calibri"/>
          <w:sz w:val="28"/>
        </w:rPr>
        <w:t>4</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AB1147">
        <w:rPr>
          <w:spacing w:val="-3"/>
          <w:sz w:val="24"/>
          <w:szCs w:val="24"/>
        </w:rPr>
        <w:t>4</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E51F1F" w:rsidRDefault="00E51F1F" w:rsidP="00325264">
      <w:pPr>
        <w:sectPr w:rsidR="00E51F1F"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E51F1F" w:rsidRDefault="00E51F1F" w:rsidP="00E51F1F">
      <w:pPr>
        <w:pStyle w:val="Heading1"/>
      </w:pPr>
      <w:bookmarkStart w:id="0" w:name="_Toc340231481"/>
      <w:r>
        <w:lastRenderedPageBreak/>
        <w:t>Membership of the committee</w:t>
      </w:r>
      <w:bookmarkEnd w:id="0"/>
    </w:p>
    <w:p w:rsidR="00E51F1F" w:rsidRDefault="00E51F1F" w:rsidP="00E51F1F">
      <w:pPr>
        <w:spacing w:after="0"/>
      </w:pPr>
    </w:p>
    <w:p w:rsidR="00E51F1F" w:rsidRDefault="00E51F1F" w:rsidP="00E51F1F">
      <w:pPr>
        <w:spacing w:after="0"/>
      </w:pPr>
    </w:p>
    <w:p w:rsidR="00E51F1F" w:rsidRDefault="00E51F1F" w:rsidP="00E51F1F">
      <w:pPr>
        <w:spacing w:after="0"/>
      </w:pPr>
    </w:p>
    <w:p w:rsidR="00E51F1F" w:rsidRDefault="00E51F1F" w:rsidP="00E51F1F">
      <w:pPr>
        <w:spacing w:after="0"/>
      </w:pPr>
    </w:p>
    <w:p w:rsidR="00E51F1F" w:rsidRDefault="00E51F1F" w:rsidP="00E51F1F">
      <w:pPr>
        <w:spacing w:after="0"/>
      </w:pPr>
    </w:p>
    <w:p w:rsidR="00E51F1F" w:rsidRPr="008A46B0" w:rsidRDefault="00E51F1F" w:rsidP="00E51F1F">
      <w:pPr>
        <w:tabs>
          <w:tab w:val="left" w:pos="4536"/>
        </w:tabs>
        <w:outlineLvl w:val="0"/>
        <w:rPr>
          <w:b/>
        </w:rPr>
      </w:pPr>
      <w:bookmarkStart w:id="1" w:name="_Toc340231482"/>
      <w:r>
        <w:rPr>
          <w:b/>
        </w:rPr>
        <w:t>Current m</w:t>
      </w:r>
      <w:r w:rsidRPr="008A46B0">
        <w:rPr>
          <w:b/>
        </w:rPr>
        <w:t>embers</w:t>
      </w:r>
      <w:bookmarkEnd w:id="1"/>
    </w:p>
    <w:p w:rsidR="00E51F1F" w:rsidRPr="001F6A19" w:rsidRDefault="00E51F1F" w:rsidP="00E51F1F">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E51F1F" w:rsidRPr="001F6A19" w:rsidRDefault="00E51F1F" w:rsidP="00E51F1F">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E51F1F" w:rsidRPr="001F6A19" w:rsidRDefault="00E51F1F" w:rsidP="00E51F1F">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E51F1F" w:rsidRPr="001F6A19" w:rsidRDefault="00E51F1F" w:rsidP="00E51F1F">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E51F1F" w:rsidRDefault="00E51F1F" w:rsidP="00E51F1F">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E51F1F" w:rsidRDefault="00E51F1F" w:rsidP="00E51F1F">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E51F1F" w:rsidRDefault="00E51F1F" w:rsidP="00E51F1F">
      <w:pPr>
        <w:spacing w:after="0"/>
        <w:rPr>
          <w:sz w:val="24"/>
          <w:szCs w:val="24"/>
        </w:rPr>
      </w:pPr>
    </w:p>
    <w:p w:rsidR="00E51F1F" w:rsidRDefault="00E51F1F" w:rsidP="00E51F1F">
      <w:pPr>
        <w:spacing w:after="0"/>
        <w:rPr>
          <w:sz w:val="24"/>
          <w:szCs w:val="24"/>
        </w:rPr>
      </w:pPr>
    </w:p>
    <w:p w:rsidR="00E51F1F" w:rsidRDefault="00E51F1F" w:rsidP="00E51F1F">
      <w:pPr>
        <w:spacing w:after="0"/>
        <w:rPr>
          <w:sz w:val="24"/>
          <w:szCs w:val="24"/>
        </w:rPr>
      </w:pPr>
    </w:p>
    <w:p w:rsidR="00E51F1F" w:rsidRDefault="00E51F1F" w:rsidP="00E51F1F">
      <w:pPr>
        <w:spacing w:after="0"/>
        <w:rPr>
          <w:sz w:val="24"/>
          <w:szCs w:val="24"/>
        </w:rPr>
      </w:pPr>
    </w:p>
    <w:p w:rsidR="00E51F1F" w:rsidRDefault="00E51F1F" w:rsidP="00E51F1F">
      <w:pPr>
        <w:spacing w:after="0"/>
        <w:rPr>
          <w:sz w:val="24"/>
          <w:szCs w:val="24"/>
        </w:rPr>
      </w:pPr>
    </w:p>
    <w:p w:rsidR="00E51F1F" w:rsidRPr="00BE73BD" w:rsidRDefault="00E51F1F" w:rsidP="00E51F1F">
      <w:pPr>
        <w:rPr>
          <w:b/>
        </w:rPr>
      </w:pPr>
      <w:bookmarkStart w:id="2" w:name="_Toc340231484"/>
      <w:r w:rsidRPr="00BE73BD">
        <w:rPr>
          <w:b/>
        </w:rPr>
        <w:t>Secretariat</w:t>
      </w:r>
      <w:bookmarkEnd w:id="2"/>
    </w:p>
    <w:p w:rsidR="00E51F1F" w:rsidRPr="00BE73BD" w:rsidRDefault="00E51F1F" w:rsidP="00E51F1F">
      <w:pPr>
        <w:spacing w:after="0"/>
        <w:rPr>
          <w:sz w:val="24"/>
          <w:szCs w:val="24"/>
        </w:rPr>
      </w:pPr>
      <w:bookmarkStart w:id="3" w:name="_Toc340231485"/>
      <w:r w:rsidRPr="00BE73BD">
        <w:rPr>
          <w:sz w:val="24"/>
          <w:szCs w:val="24"/>
        </w:rPr>
        <w:t>Mr Ivan Powell, Secretary</w:t>
      </w:r>
      <w:bookmarkEnd w:id="3"/>
    </w:p>
    <w:p w:rsidR="00E51F1F" w:rsidRPr="00BE73BD" w:rsidRDefault="00E51F1F" w:rsidP="00E51F1F">
      <w:pPr>
        <w:spacing w:after="0"/>
        <w:rPr>
          <w:sz w:val="24"/>
          <w:szCs w:val="24"/>
        </w:rPr>
      </w:pPr>
      <w:r w:rsidRPr="00BE73BD">
        <w:rPr>
          <w:sz w:val="24"/>
          <w:szCs w:val="24"/>
        </w:rPr>
        <w:t>Dr Patrick Hodder, Senior Research Officer</w:t>
      </w:r>
    </w:p>
    <w:p w:rsidR="00E51F1F" w:rsidRDefault="00E51F1F" w:rsidP="00E51F1F">
      <w:pPr>
        <w:spacing w:after="0"/>
        <w:rPr>
          <w:sz w:val="24"/>
          <w:szCs w:val="24"/>
        </w:rPr>
      </w:pPr>
    </w:p>
    <w:p w:rsidR="00E51F1F" w:rsidRDefault="00E51F1F" w:rsidP="00E51F1F">
      <w:pPr>
        <w:spacing w:after="0"/>
        <w:rPr>
          <w:sz w:val="24"/>
          <w:szCs w:val="24"/>
        </w:rPr>
      </w:pPr>
    </w:p>
    <w:p w:rsidR="00E51F1F" w:rsidRDefault="00E51F1F" w:rsidP="00E51F1F">
      <w:pPr>
        <w:spacing w:after="0"/>
        <w:rPr>
          <w:sz w:val="24"/>
          <w:szCs w:val="24"/>
        </w:rPr>
      </w:pPr>
    </w:p>
    <w:p w:rsidR="00E51F1F" w:rsidRPr="007A6AAA" w:rsidRDefault="00E51F1F" w:rsidP="00E51F1F">
      <w:pPr>
        <w:spacing w:after="0"/>
        <w:rPr>
          <w:sz w:val="24"/>
          <w:szCs w:val="24"/>
        </w:rPr>
      </w:pPr>
    </w:p>
    <w:p w:rsidR="00E51F1F" w:rsidRPr="00BE73BD" w:rsidRDefault="00E51F1F" w:rsidP="00E51F1F">
      <w:pPr>
        <w:rPr>
          <w:b/>
        </w:rPr>
      </w:pPr>
      <w:bookmarkStart w:id="4" w:name="_Toc340231486"/>
      <w:r w:rsidRPr="00BE73BD">
        <w:rPr>
          <w:b/>
        </w:rPr>
        <w:t>Committee legal adviser</w:t>
      </w:r>
      <w:bookmarkEnd w:id="4"/>
    </w:p>
    <w:p w:rsidR="00E51F1F" w:rsidRPr="00BE73BD" w:rsidRDefault="00E51F1F" w:rsidP="00E51F1F">
      <w:pPr>
        <w:rPr>
          <w:sz w:val="24"/>
          <w:szCs w:val="24"/>
        </w:rPr>
      </w:pPr>
      <w:r w:rsidRPr="00BE73BD">
        <w:rPr>
          <w:sz w:val="24"/>
          <w:szCs w:val="24"/>
        </w:rPr>
        <w:t>Mr Stephen Argument</w:t>
      </w:r>
    </w:p>
    <w:p w:rsidR="00E51F1F" w:rsidRDefault="00E51F1F" w:rsidP="00E51F1F">
      <w:pPr>
        <w:spacing w:after="0"/>
        <w:rPr>
          <w:sz w:val="24"/>
          <w:szCs w:val="24"/>
        </w:rPr>
      </w:pPr>
    </w:p>
    <w:p w:rsidR="00E51F1F" w:rsidRDefault="00E51F1F" w:rsidP="00E51F1F">
      <w:pPr>
        <w:spacing w:after="0"/>
        <w:rPr>
          <w:sz w:val="24"/>
          <w:szCs w:val="24"/>
        </w:rPr>
      </w:pPr>
    </w:p>
    <w:p w:rsidR="00E51F1F" w:rsidRPr="001B64F3" w:rsidRDefault="00E51F1F" w:rsidP="00E51F1F">
      <w:pPr>
        <w:spacing w:after="0"/>
        <w:rPr>
          <w:sz w:val="24"/>
          <w:szCs w:val="24"/>
        </w:rPr>
      </w:pPr>
    </w:p>
    <w:p w:rsidR="00E51F1F" w:rsidRPr="001B64F3" w:rsidRDefault="00E51F1F" w:rsidP="00E51F1F">
      <w:pPr>
        <w:spacing w:after="0"/>
        <w:rPr>
          <w:sz w:val="24"/>
          <w:szCs w:val="24"/>
        </w:rPr>
      </w:pPr>
    </w:p>
    <w:p w:rsidR="00E51F1F" w:rsidRPr="00BE73BD" w:rsidRDefault="00E51F1F" w:rsidP="00E51F1F">
      <w:pPr>
        <w:rPr>
          <w:b/>
        </w:rPr>
      </w:pPr>
      <w:bookmarkStart w:id="5" w:name="_Toc340231487"/>
      <w:r w:rsidRPr="00BE73BD">
        <w:rPr>
          <w:b/>
        </w:rPr>
        <w:t>Committee contacts</w:t>
      </w:r>
      <w:bookmarkEnd w:id="5"/>
    </w:p>
    <w:p w:rsidR="00E51F1F" w:rsidRPr="00BE73BD" w:rsidRDefault="00E51F1F" w:rsidP="00E51F1F">
      <w:pPr>
        <w:spacing w:after="0"/>
        <w:rPr>
          <w:sz w:val="24"/>
          <w:szCs w:val="24"/>
        </w:rPr>
      </w:pPr>
      <w:bookmarkStart w:id="6" w:name="_Toc340231488"/>
      <w:r w:rsidRPr="00BE73BD">
        <w:rPr>
          <w:sz w:val="24"/>
          <w:szCs w:val="24"/>
        </w:rPr>
        <w:t>PO Box 6100</w:t>
      </w:r>
      <w:bookmarkEnd w:id="6"/>
    </w:p>
    <w:p w:rsidR="00E51F1F" w:rsidRPr="00BE73BD" w:rsidRDefault="00E51F1F" w:rsidP="00E51F1F">
      <w:pPr>
        <w:spacing w:after="0"/>
        <w:rPr>
          <w:sz w:val="24"/>
          <w:szCs w:val="24"/>
        </w:rPr>
      </w:pPr>
      <w:r w:rsidRPr="00BE73BD">
        <w:rPr>
          <w:sz w:val="24"/>
          <w:szCs w:val="24"/>
        </w:rPr>
        <w:t>Parliament House</w:t>
      </w:r>
    </w:p>
    <w:p w:rsidR="00E51F1F" w:rsidRPr="00BE73BD" w:rsidRDefault="00E51F1F" w:rsidP="00E51F1F">
      <w:pPr>
        <w:spacing w:after="0"/>
        <w:rPr>
          <w:sz w:val="24"/>
          <w:szCs w:val="24"/>
        </w:rPr>
      </w:pPr>
      <w:r w:rsidRPr="00BE73BD">
        <w:rPr>
          <w:sz w:val="24"/>
          <w:szCs w:val="24"/>
        </w:rPr>
        <w:t>Canberra ACT 2600</w:t>
      </w:r>
    </w:p>
    <w:p w:rsidR="00E51F1F" w:rsidRPr="00BE73BD" w:rsidRDefault="00E51F1F" w:rsidP="00E51F1F">
      <w:pPr>
        <w:spacing w:after="0"/>
        <w:rPr>
          <w:sz w:val="24"/>
          <w:szCs w:val="24"/>
        </w:rPr>
      </w:pPr>
      <w:r w:rsidRPr="00BE73BD">
        <w:rPr>
          <w:sz w:val="24"/>
          <w:szCs w:val="24"/>
        </w:rPr>
        <w:t>Ph: 02 6277 3066</w:t>
      </w:r>
    </w:p>
    <w:p w:rsidR="00E51F1F" w:rsidRPr="00BE73BD" w:rsidRDefault="00E51F1F" w:rsidP="00E51F1F">
      <w:pPr>
        <w:spacing w:after="0"/>
        <w:rPr>
          <w:sz w:val="24"/>
          <w:szCs w:val="24"/>
        </w:rPr>
      </w:pPr>
      <w:r w:rsidRPr="00BE73BD">
        <w:rPr>
          <w:sz w:val="24"/>
          <w:szCs w:val="24"/>
        </w:rPr>
        <w:t>Email: regords.sen@aph.gov.au</w:t>
      </w:r>
    </w:p>
    <w:p w:rsidR="00E51F1F" w:rsidRPr="00F72A71" w:rsidRDefault="00E51F1F" w:rsidP="00E51F1F">
      <w:pPr>
        <w:rPr>
          <w:color w:val="000000"/>
          <w:sz w:val="24"/>
          <w:szCs w:val="24"/>
        </w:rPr>
      </w:pPr>
      <w:bookmarkStart w:id="7" w:name="_Toc340231489"/>
      <w:r w:rsidRPr="00BE73BD">
        <w:rPr>
          <w:sz w:val="24"/>
          <w:szCs w:val="24"/>
        </w:rPr>
        <w:t xml:space="preserve">Website: </w:t>
      </w:r>
      <w:bookmarkEnd w:id="7"/>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E51F1F" w:rsidRPr="007E04A9" w:rsidRDefault="00E51F1F" w:rsidP="00E51F1F">
      <w:pPr>
        <w:spacing w:after="0"/>
      </w:pPr>
    </w:p>
    <w:p w:rsidR="00E51F1F" w:rsidRDefault="00E51F1F" w:rsidP="00E51F1F">
      <w:r>
        <w:br w:type="page"/>
      </w:r>
    </w:p>
    <w:p w:rsidR="00E51F1F" w:rsidRDefault="00E51F1F" w:rsidP="00E51F1F">
      <w:pPr>
        <w:sectPr w:rsidR="00E51F1F"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E51F1F" w:rsidRDefault="00E51F1F" w:rsidP="00E51F1F">
      <w:pPr>
        <w:pStyle w:val="Heading1"/>
      </w:pPr>
      <w:bookmarkStart w:id="8" w:name="_Toc340231490"/>
      <w:bookmarkStart w:id="9" w:name="_Toc357501262"/>
      <w:bookmarkStart w:id="10" w:name="_Toc357761275"/>
      <w:bookmarkStart w:id="11" w:name="_Toc357762305"/>
      <w:bookmarkStart w:id="12" w:name="_Toc368399096"/>
      <w:bookmarkStart w:id="13" w:name="_Toc368399166"/>
      <w:bookmarkStart w:id="14" w:name="_Toc368401283"/>
      <w:bookmarkStart w:id="15" w:name="_Toc379879386"/>
      <w:bookmarkStart w:id="16" w:name="_Toc379888075"/>
      <w:bookmarkStart w:id="17" w:name="_Toc399845400"/>
      <w:r>
        <w:lastRenderedPageBreak/>
        <w:t>Contents</w:t>
      </w:r>
      <w:bookmarkEnd w:id="8"/>
      <w:bookmarkEnd w:id="9"/>
      <w:bookmarkEnd w:id="10"/>
      <w:bookmarkEnd w:id="11"/>
      <w:bookmarkEnd w:id="12"/>
      <w:bookmarkEnd w:id="13"/>
      <w:bookmarkEnd w:id="14"/>
      <w:bookmarkEnd w:id="15"/>
      <w:bookmarkEnd w:id="16"/>
      <w:bookmarkEnd w:id="17"/>
    </w:p>
    <w:p w:rsidR="00E51F1F" w:rsidRPr="00635538" w:rsidRDefault="00E51F1F" w:rsidP="00E51F1F">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E51F1F" w:rsidRPr="00635538" w:rsidRDefault="00E51F1F" w:rsidP="00E51F1F">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E51F1F" w:rsidRDefault="00E51F1F" w:rsidP="00E51F1F">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E51F1F" w:rsidRDefault="00E51F1F" w:rsidP="00E51F1F">
      <w:pPr>
        <w:pStyle w:val="TOC2"/>
        <w:tabs>
          <w:tab w:val="right" w:leader="dot" w:pos="9016"/>
        </w:tabs>
        <w:rPr>
          <w:rFonts w:asciiTheme="minorHAnsi" w:eastAsiaTheme="minorEastAsia" w:hAnsiTheme="minorHAnsi" w:cstheme="minorBidi"/>
          <w:b w:val="0"/>
          <w:noProof/>
          <w:sz w:val="22"/>
          <w:szCs w:val="22"/>
          <w:lang w:eastAsia="en-AU"/>
        </w:rPr>
      </w:pPr>
      <w:r>
        <w:rPr>
          <w:noProof/>
        </w:rPr>
        <w:t>New matters</w:t>
      </w:r>
    </w:p>
    <w:p w:rsidR="00E51F1F" w:rsidRDefault="00E51F1F" w:rsidP="00E51F1F">
      <w:pPr>
        <w:pStyle w:val="TOC3"/>
        <w:tabs>
          <w:tab w:val="right" w:leader="dot" w:pos="9016"/>
        </w:tabs>
        <w:jc w:val="left"/>
        <w:rPr>
          <w:rFonts w:asciiTheme="minorHAnsi" w:eastAsiaTheme="minorEastAsia" w:hAnsiTheme="minorHAnsi" w:cstheme="minorBidi"/>
          <w:noProof/>
          <w:sz w:val="22"/>
          <w:szCs w:val="22"/>
          <w:lang w:eastAsia="en-AU"/>
        </w:rPr>
      </w:pPr>
      <w:r>
        <w:rPr>
          <w:noProof/>
        </w:rPr>
        <w:t>Work Health and Safety Exemption (Construction induction training - ASC AWD Shipbuilder Pty Ltd and overseas technical specialists)</w:t>
      </w:r>
      <w:r>
        <w:rPr>
          <w:noProof/>
        </w:rPr>
        <w:br/>
        <w:t>(September 2014) [F2014L01195]</w:t>
      </w:r>
      <w:r>
        <w:rPr>
          <w:noProof/>
        </w:rPr>
        <w:tab/>
        <w:t>1</w:t>
      </w:r>
    </w:p>
    <w:p w:rsidR="00E51F1F" w:rsidRDefault="00E51F1F" w:rsidP="00E51F1F">
      <w:pPr>
        <w:pStyle w:val="TOC2"/>
        <w:tabs>
          <w:tab w:val="right" w:leader="dot" w:pos="9016"/>
        </w:tabs>
        <w:rPr>
          <w:rFonts w:asciiTheme="minorHAnsi" w:eastAsiaTheme="minorEastAsia" w:hAnsiTheme="minorHAnsi" w:cstheme="minorBidi"/>
          <w:b w:val="0"/>
          <w:noProof/>
          <w:sz w:val="22"/>
          <w:szCs w:val="22"/>
          <w:lang w:eastAsia="en-AU"/>
        </w:rPr>
      </w:pPr>
      <w:r>
        <w:rPr>
          <w:noProof/>
        </w:rPr>
        <w:t>Continuing matters</w:t>
      </w:r>
    </w:p>
    <w:p w:rsidR="00E51F1F" w:rsidRDefault="00E51F1F" w:rsidP="00E51F1F">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BA347D">
        <w:rPr>
          <w:i/>
          <w:noProof/>
        </w:rPr>
        <w:t>Acts Interpretation Act 1901</w:t>
      </w:r>
      <w:r>
        <w:rPr>
          <w:noProof/>
        </w:rPr>
        <w:tab/>
        <w:t>2</w:t>
      </w:r>
    </w:p>
    <w:p w:rsidR="00E51F1F" w:rsidRDefault="00E51F1F" w:rsidP="00E51F1F">
      <w:pPr>
        <w:pStyle w:val="TOC1"/>
        <w:tabs>
          <w:tab w:val="right" w:leader="dot" w:pos="9016"/>
        </w:tabs>
        <w:rPr>
          <w:rFonts w:asciiTheme="minorHAnsi" w:eastAsiaTheme="minorEastAsia" w:hAnsiTheme="minorHAnsi" w:cstheme="minorBidi"/>
          <w:b w:val="0"/>
          <w:noProof/>
          <w:sz w:val="22"/>
          <w:szCs w:val="22"/>
          <w:lang w:eastAsia="en-AU"/>
        </w:rPr>
      </w:pPr>
      <w:r>
        <w:rPr>
          <w:noProof/>
        </w:rPr>
        <w:t>Chapter 2 – Concluded matters</w:t>
      </w:r>
    </w:p>
    <w:p w:rsidR="00E51F1F" w:rsidRDefault="00E51F1F" w:rsidP="00E51F1F">
      <w:pPr>
        <w:pStyle w:val="TOC3"/>
        <w:tabs>
          <w:tab w:val="right" w:leader="dot" w:pos="9016"/>
        </w:tabs>
        <w:jc w:val="left"/>
        <w:rPr>
          <w:rFonts w:asciiTheme="minorHAnsi" w:eastAsiaTheme="minorEastAsia" w:hAnsiTheme="minorHAnsi" w:cstheme="minorBidi"/>
          <w:noProof/>
          <w:sz w:val="22"/>
          <w:szCs w:val="22"/>
          <w:lang w:eastAsia="en-AU"/>
        </w:rPr>
      </w:pPr>
      <w:r>
        <w:rPr>
          <w:noProof/>
        </w:rPr>
        <w:t>Family Law (Bilateral Arrangements-Intercountry Adoption) Amendment</w:t>
      </w:r>
      <w:r>
        <w:rPr>
          <w:noProof/>
        </w:rPr>
        <w:br/>
        <w:t>(2014 Measures No. 2) Regulation 2014 [F2014L00857]</w:t>
      </w:r>
      <w:r>
        <w:rPr>
          <w:noProof/>
        </w:rPr>
        <w:tab/>
        <w:t>3</w:t>
      </w:r>
    </w:p>
    <w:p w:rsidR="00E51F1F" w:rsidRDefault="00E51F1F" w:rsidP="00E51F1F">
      <w:pPr>
        <w:pStyle w:val="TOC3"/>
        <w:tabs>
          <w:tab w:val="right" w:leader="dot" w:pos="9016"/>
        </w:tabs>
        <w:jc w:val="left"/>
        <w:rPr>
          <w:rFonts w:asciiTheme="minorHAnsi" w:eastAsiaTheme="minorEastAsia" w:hAnsiTheme="minorHAnsi" w:cstheme="minorBidi"/>
          <w:noProof/>
          <w:sz w:val="22"/>
          <w:szCs w:val="22"/>
          <w:lang w:eastAsia="en-AU"/>
        </w:rPr>
      </w:pPr>
      <w:r>
        <w:rPr>
          <w:noProof/>
        </w:rPr>
        <w:t>CASA 170/14 - Direction — number of cabin attendants</w:t>
      </w:r>
      <w:r>
        <w:rPr>
          <w:noProof/>
        </w:rPr>
        <w:br/>
        <w:t>(National Jet Systems) [F2014L01044]</w:t>
      </w:r>
      <w:r>
        <w:rPr>
          <w:noProof/>
        </w:rPr>
        <w:tab/>
        <w:t>4</w:t>
      </w:r>
    </w:p>
    <w:p w:rsidR="00E51F1F" w:rsidRDefault="00E51F1F" w:rsidP="00E51F1F">
      <w:pPr>
        <w:pStyle w:val="TOC3"/>
        <w:tabs>
          <w:tab w:val="right" w:leader="dot" w:pos="9016"/>
        </w:tabs>
        <w:rPr>
          <w:rFonts w:asciiTheme="minorHAnsi" w:eastAsiaTheme="minorEastAsia" w:hAnsiTheme="minorHAnsi" w:cstheme="minorBidi"/>
          <w:noProof/>
          <w:sz w:val="22"/>
          <w:szCs w:val="22"/>
          <w:lang w:eastAsia="en-AU"/>
        </w:rPr>
      </w:pPr>
      <w:r>
        <w:rPr>
          <w:noProof/>
        </w:rPr>
        <w:t>Farm Household Support Secretary's Rule 2014 [F2014L00614]</w:t>
      </w:r>
      <w:r>
        <w:rPr>
          <w:noProof/>
        </w:rPr>
        <w:tab/>
        <w:t>6</w:t>
      </w:r>
    </w:p>
    <w:p w:rsidR="00E51F1F" w:rsidRDefault="00E51F1F" w:rsidP="00E51F1F">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Guideline on consultation</w:t>
      </w:r>
      <w:r w:rsidRPr="00635538">
        <w:rPr>
          <w:b w:val="0"/>
          <w:noProof/>
          <w:sz w:val="26"/>
          <w:szCs w:val="26"/>
        </w:rPr>
        <w:tab/>
      </w:r>
    </w:p>
    <w:p w:rsidR="00E51F1F" w:rsidRDefault="00E51F1F" w:rsidP="00E51F1F">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Correspondence</w:t>
      </w:r>
      <w:r>
        <w:rPr>
          <w:b w:val="0"/>
          <w:noProof/>
          <w:sz w:val="26"/>
          <w:szCs w:val="26"/>
        </w:rPr>
        <w:tab/>
      </w:r>
    </w:p>
    <w:p w:rsidR="00E51F1F" w:rsidRDefault="00E51F1F" w:rsidP="00E51F1F">
      <w:pPr>
        <w:tabs>
          <w:tab w:val="left" w:pos="1170"/>
        </w:tabs>
        <w:jc w:val="left"/>
        <w:rPr>
          <w:sz w:val="16"/>
          <w:szCs w:val="16"/>
        </w:rPr>
      </w:pPr>
    </w:p>
    <w:p w:rsidR="00E51F1F" w:rsidRDefault="00E51F1F" w:rsidP="00E51F1F">
      <w:pPr>
        <w:tabs>
          <w:tab w:val="left" w:pos="1170"/>
        </w:tabs>
        <w:jc w:val="left"/>
        <w:rPr>
          <w:sz w:val="16"/>
          <w:szCs w:val="16"/>
        </w:rPr>
      </w:pPr>
    </w:p>
    <w:p w:rsidR="00E51F1F" w:rsidRPr="00635538" w:rsidRDefault="00E51F1F" w:rsidP="00E51F1F">
      <w:pPr>
        <w:tabs>
          <w:tab w:val="left" w:pos="1170"/>
        </w:tabs>
        <w:jc w:val="left"/>
        <w:rPr>
          <w:sz w:val="16"/>
          <w:szCs w:val="16"/>
        </w:rPr>
      </w:pPr>
      <w:r w:rsidRPr="00635538">
        <w:rPr>
          <w:sz w:val="16"/>
          <w:szCs w:val="16"/>
        </w:rPr>
        <w:fldChar w:fldCharType="begin"/>
      </w:r>
      <w:r w:rsidRPr="00635538">
        <w:rPr>
          <w:sz w:val="16"/>
          <w:szCs w:val="16"/>
        </w:rPr>
        <w:instrText xml:space="preserve"> RD  "\\\\home2\\SEN-LegislativeScrutinyUnit\\Regs &amp; Ords\\</w:instrText>
      </w:r>
      <w:r>
        <w:rPr>
          <w:sz w:val="16"/>
          <w:szCs w:val="16"/>
        </w:rPr>
        <w:instrText xml:space="preserve">13 </w:instrText>
      </w:r>
      <w:r w:rsidRPr="00635538">
        <w:rPr>
          <w:sz w:val="16"/>
          <w:szCs w:val="16"/>
        </w:rPr>
        <w:instrText>of 2014 1</w:instrText>
      </w:r>
      <w:r>
        <w:rPr>
          <w:sz w:val="16"/>
          <w:szCs w:val="16"/>
        </w:rPr>
        <w:instrText xml:space="preserve"> OCTOBER 2014</w:instrText>
      </w:r>
      <w:r w:rsidRPr="00635538">
        <w:rPr>
          <w:sz w:val="16"/>
          <w:szCs w:val="16"/>
        </w:rPr>
        <w:instrText>\\MONITOR 1</w:instrText>
      </w:r>
      <w:r>
        <w:rPr>
          <w:sz w:val="16"/>
          <w:szCs w:val="16"/>
        </w:rPr>
        <w:instrText>3</w:instrText>
      </w:r>
      <w:r w:rsidRPr="00635538">
        <w:rPr>
          <w:sz w:val="16"/>
          <w:szCs w:val="16"/>
        </w:rPr>
        <w:instrText xml:space="preserve"> OF 2014\\02 members.docx" </w:instrText>
      </w:r>
      <w:r w:rsidRPr="00635538">
        <w:rPr>
          <w:sz w:val="16"/>
          <w:szCs w:val="16"/>
        </w:rPr>
        <w:fldChar w:fldCharType="end"/>
      </w:r>
    </w:p>
    <w:p w:rsidR="00E51F1F" w:rsidRPr="00635538" w:rsidRDefault="00E51F1F" w:rsidP="00E51F1F">
      <w:pPr>
        <w:rPr>
          <w:sz w:val="16"/>
          <w:szCs w:val="16"/>
        </w:rPr>
      </w:pPr>
      <w:r w:rsidRPr="00635538">
        <w:rPr>
          <w:sz w:val="16"/>
          <w:szCs w:val="16"/>
        </w:rPr>
        <w:fldChar w:fldCharType="begin"/>
      </w:r>
      <w:r w:rsidRPr="00635538">
        <w:rPr>
          <w:sz w:val="16"/>
          <w:szCs w:val="16"/>
        </w:rPr>
        <w:instrText xml:space="preserve"> RD  "\\\\home2\\SEN-Legisla</w:instrText>
      </w:r>
      <w:r>
        <w:rPr>
          <w:sz w:val="16"/>
          <w:szCs w:val="16"/>
        </w:rPr>
        <w:instrText xml:space="preserve">tiveScrutinyUnit\\Regs &amp; Ords\\13 </w:instrText>
      </w:r>
      <w:r w:rsidRPr="00635538">
        <w:rPr>
          <w:sz w:val="16"/>
          <w:szCs w:val="16"/>
        </w:rPr>
        <w:instrText>of 2014 1</w:instrText>
      </w:r>
      <w:r>
        <w:rPr>
          <w:sz w:val="16"/>
          <w:szCs w:val="16"/>
        </w:rPr>
        <w:instrText xml:space="preserve"> OCTOBER 2014</w:instrText>
      </w:r>
      <w:r w:rsidRPr="00635538">
        <w:rPr>
          <w:sz w:val="16"/>
          <w:szCs w:val="16"/>
        </w:rPr>
        <w:instrText>\\MONITOR 1</w:instrText>
      </w:r>
      <w:r>
        <w:rPr>
          <w:sz w:val="16"/>
          <w:szCs w:val="16"/>
        </w:rPr>
        <w:instrText>3</w:instrText>
      </w:r>
      <w:r w:rsidRPr="00635538">
        <w:rPr>
          <w:sz w:val="16"/>
          <w:szCs w:val="16"/>
        </w:rPr>
        <w:instrText xml:space="preserve"> OF 2014\\04 intro.docx" </w:instrText>
      </w:r>
      <w:r w:rsidRPr="00635538">
        <w:rPr>
          <w:sz w:val="16"/>
          <w:szCs w:val="16"/>
        </w:rPr>
        <w:fldChar w:fldCharType="end"/>
      </w:r>
    </w:p>
    <w:p w:rsidR="00E51F1F" w:rsidRPr="00635538" w:rsidRDefault="00E51F1F" w:rsidP="00E51F1F">
      <w:pPr>
        <w:rPr>
          <w:sz w:val="16"/>
          <w:szCs w:val="16"/>
        </w:rPr>
      </w:pPr>
      <w:r w:rsidRPr="00635538">
        <w:rPr>
          <w:sz w:val="16"/>
          <w:szCs w:val="16"/>
        </w:rPr>
        <w:fldChar w:fldCharType="begin"/>
      </w:r>
      <w:r w:rsidRPr="00635538">
        <w:rPr>
          <w:sz w:val="16"/>
          <w:szCs w:val="16"/>
        </w:rPr>
        <w:instrText xml:space="preserve"> RD  "\\\\home2\\SEN-LegislativeScrutinyUnit\\Regs &amp;</w:instrText>
      </w:r>
      <w:r>
        <w:rPr>
          <w:sz w:val="16"/>
          <w:szCs w:val="16"/>
        </w:rPr>
        <w:instrText xml:space="preserve"> Ords\\13 </w:instrText>
      </w:r>
      <w:r w:rsidRPr="00635538">
        <w:rPr>
          <w:sz w:val="16"/>
          <w:szCs w:val="16"/>
        </w:rPr>
        <w:instrText>of 2014 1</w:instrText>
      </w:r>
      <w:r>
        <w:rPr>
          <w:sz w:val="16"/>
          <w:szCs w:val="16"/>
        </w:rPr>
        <w:instrText xml:space="preserve"> OCTOBER 2014</w:instrText>
      </w:r>
      <w:r w:rsidRPr="00635538">
        <w:rPr>
          <w:sz w:val="16"/>
          <w:szCs w:val="16"/>
        </w:rPr>
        <w:instrText>\\MONITOR 1</w:instrText>
      </w:r>
      <w:r>
        <w:rPr>
          <w:sz w:val="16"/>
          <w:szCs w:val="16"/>
        </w:rPr>
        <w:instrText>3</w:instrText>
      </w:r>
      <w:r w:rsidRPr="00635538">
        <w:rPr>
          <w:sz w:val="16"/>
          <w:szCs w:val="16"/>
        </w:rPr>
        <w:instrText xml:space="preserve"> OF 2014\\05 new.docx" </w:instrText>
      </w:r>
      <w:r w:rsidRPr="00635538">
        <w:rPr>
          <w:sz w:val="16"/>
          <w:szCs w:val="16"/>
        </w:rPr>
        <w:fldChar w:fldCharType="end"/>
      </w:r>
    </w:p>
    <w:p w:rsidR="00E51F1F" w:rsidRPr="00635538" w:rsidRDefault="00E51F1F" w:rsidP="00E51F1F">
      <w:pPr>
        <w:rPr>
          <w:sz w:val="16"/>
          <w:szCs w:val="16"/>
        </w:rPr>
      </w:pPr>
      <w:r w:rsidRPr="00635538">
        <w:rPr>
          <w:sz w:val="16"/>
          <w:szCs w:val="16"/>
        </w:rPr>
        <w:fldChar w:fldCharType="begin"/>
      </w:r>
      <w:r w:rsidRPr="00635538">
        <w:rPr>
          <w:sz w:val="16"/>
          <w:szCs w:val="16"/>
        </w:rPr>
        <w:instrText xml:space="preserve"> RD  "\\\\home2\\SEN-Legisla</w:instrText>
      </w:r>
      <w:r>
        <w:rPr>
          <w:sz w:val="16"/>
          <w:szCs w:val="16"/>
        </w:rPr>
        <w:instrText xml:space="preserve">tiveScrutinyUnit\\Regs &amp; Ords\\13 </w:instrText>
      </w:r>
      <w:r w:rsidRPr="00635538">
        <w:rPr>
          <w:sz w:val="16"/>
          <w:szCs w:val="16"/>
        </w:rPr>
        <w:instrText>of 2014 1</w:instrText>
      </w:r>
      <w:r>
        <w:rPr>
          <w:sz w:val="16"/>
          <w:szCs w:val="16"/>
        </w:rPr>
        <w:instrText xml:space="preserve"> OCTOBER 2014</w:instrText>
      </w:r>
      <w:r w:rsidRPr="00635538">
        <w:rPr>
          <w:sz w:val="16"/>
          <w:szCs w:val="16"/>
        </w:rPr>
        <w:instrText>\\MONITOR 1</w:instrText>
      </w:r>
      <w:r>
        <w:rPr>
          <w:sz w:val="16"/>
          <w:szCs w:val="16"/>
        </w:rPr>
        <w:instrText>3</w:instrText>
      </w:r>
      <w:r w:rsidRPr="00635538">
        <w:rPr>
          <w:sz w:val="16"/>
          <w:szCs w:val="16"/>
        </w:rPr>
        <w:instrText xml:space="preserve"> OF 2014\\06 concluded.docx" </w:instrText>
      </w:r>
      <w:r w:rsidRPr="00635538">
        <w:rPr>
          <w:sz w:val="16"/>
          <w:szCs w:val="16"/>
        </w:rPr>
        <w:fldChar w:fldCharType="end"/>
      </w:r>
    </w:p>
    <w:p w:rsidR="00E51F1F" w:rsidRPr="00635538" w:rsidRDefault="00E51F1F" w:rsidP="00E51F1F">
      <w:pPr>
        <w:rPr>
          <w:sz w:val="16"/>
          <w:szCs w:val="16"/>
        </w:rPr>
      </w:pPr>
      <w:r w:rsidRPr="00635538">
        <w:rPr>
          <w:sz w:val="16"/>
          <w:szCs w:val="16"/>
        </w:rPr>
        <w:fldChar w:fldCharType="begin"/>
      </w:r>
      <w:r w:rsidRPr="00635538">
        <w:rPr>
          <w:sz w:val="16"/>
          <w:szCs w:val="16"/>
        </w:rPr>
        <w:instrText xml:space="preserve"> RD  "\\\\home2\\SEN-LegislativeScrutinyUnit\\Regs &amp; Ords\\</w:instrText>
      </w:r>
      <w:r>
        <w:rPr>
          <w:sz w:val="16"/>
          <w:szCs w:val="16"/>
        </w:rPr>
        <w:instrText xml:space="preserve">2 </w:instrText>
      </w:r>
      <w:r w:rsidRPr="00635538">
        <w:rPr>
          <w:sz w:val="16"/>
          <w:szCs w:val="16"/>
        </w:rPr>
        <w:instrText>of 2014 1</w:instrText>
      </w:r>
      <w:r>
        <w:rPr>
          <w:sz w:val="16"/>
          <w:szCs w:val="16"/>
        </w:rPr>
        <w:instrText xml:space="preserve"> OCTOBER 2014</w:instrText>
      </w:r>
      <w:r w:rsidRPr="00635538">
        <w:rPr>
          <w:sz w:val="16"/>
          <w:szCs w:val="16"/>
        </w:rPr>
        <w:instrText>\\MONITOR 1</w:instrText>
      </w:r>
      <w:r>
        <w:rPr>
          <w:sz w:val="16"/>
          <w:szCs w:val="16"/>
        </w:rPr>
        <w:instrText>3</w:instrText>
      </w:r>
      <w:r w:rsidRPr="00635538">
        <w:rPr>
          <w:sz w:val="16"/>
          <w:szCs w:val="16"/>
        </w:rPr>
        <w:instrText xml:space="preserve"> OF 2014\\0</w:instrText>
      </w:r>
      <w:r>
        <w:rPr>
          <w:sz w:val="16"/>
          <w:szCs w:val="16"/>
        </w:rPr>
        <w:instrText>7</w:instrText>
      </w:r>
      <w:r w:rsidRPr="00635538">
        <w:rPr>
          <w:sz w:val="16"/>
          <w:szCs w:val="16"/>
        </w:rPr>
        <w:instrText xml:space="preserve"> A</w:instrText>
      </w:r>
      <w:r>
        <w:rPr>
          <w:sz w:val="16"/>
          <w:szCs w:val="16"/>
        </w:rPr>
        <w:instrText>1</w:instrText>
      </w:r>
      <w:r w:rsidRPr="00635538">
        <w:rPr>
          <w:sz w:val="16"/>
          <w:szCs w:val="16"/>
        </w:rPr>
        <w:instrText xml:space="preserve"> guideline.docx" </w:instrText>
      </w:r>
      <w:r w:rsidRPr="00635538">
        <w:rPr>
          <w:sz w:val="16"/>
          <w:szCs w:val="16"/>
        </w:rPr>
        <w:fldChar w:fldCharType="end"/>
      </w:r>
    </w:p>
    <w:p w:rsidR="00E51F1F" w:rsidRPr="00635538" w:rsidRDefault="00E51F1F" w:rsidP="00E51F1F">
      <w:pPr>
        <w:rPr>
          <w:sz w:val="16"/>
          <w:szCs w:val="16"/>
        </w:rPr>
      </w:pPr>
      <w:r w:rsidRPr="00635538">
        <w:rPr>
          <w:sz w:val="16"/>
          <w:szCs w:val="16"/>
        </w:rPr>
        <w:fldChar w:fldCharType="begin"/>
      </w:r>
      <w:r w:rsidRPr="00635538">
        <w:rPr>
          <w:sz w:val="16"/>
          <w:szCs w:val="16"/>
        </w:rPr>
        <w:instrText xml:space="preserve"> RD  "\\\\home2\\SEN-LegislativeScrutinyUnit\\Regs &amp; Ords\\</w:instrText>
      </w:r>
      <w:r>
        <w:rPr>
          <w:sz w:val="16"/>
          <w:szCs w:val="16"/>
        </w:rPr>
        <w:instrText xml:space="preserve">2 </w:instrText>
      </w:r>
      <w:r w:rsidRPr="00635538">
        <w:rPr>
          <w:sz w:val="16"/>
          <w:szCs w:val="16"/>
        </w:rPr>
        <w:instrText>of 2014 1</w:instrText>
      </w:r>
      <w:r>
        <w:rPr>
          <w:sz w:val="16"/>
          <w:szCs w:val="16"/>
        </w:rPr>
        <w:instrText xml:space="preserve"> OCTOBER 2014\\MONITOR 13 OF 2014\\08</w:instrText>
      </w:r>
      <w:r w:rsidRPr="00635538">
        <w:rPr>
          <w:sz w:val="16"/>
          <w:szCs w:val="16"/>
        </w:rPr>
        <w:instrText xml:space="preserve"> A</w:instrText>
      </w:r>
      <w:r>
        <w:rPr>
          <w:sz w:val="16"/>
          <w:szCs w:val="16"/>
        </w:rPr>
        <w:instrText>2</w:instrText>
      </w:r>
      <w:r w:rsidRPr="00635538">
        <w:rPr>
          <w:sz w:val="16"/>
          <w:szCs w:val="16"/>
        </w:rPr>
        <w:instrText xml:space="preserve"> corro.docx" </w:instrText>
      </w:r>
      <w:r w:rsidRPr="00635538">
        <w:rPr>
          <w:sz w:val="16"/>
          <w:szCs w:val="16"/>
        </w:rPr>
        <w:fldChar w:fldCharType="end"/>
      </w:r>
    </w:p>
    <w:p w:rsidR="00E51F1F" w:rsidRDefault="00E51F1F" w:rsidP="00E51F1F"/>
    <w:p w:rsidR="00E51F1F" w:rsidRDefault="00E51F1F" w:rsidP="00E51F1F">
      <w:pPr>
        <w:sectPr w:rsidR="00E51F1F" w:rsidSect="00635538">
          <w:headerReference w:type="even"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5"/>
          <w:cols w:space="720"/>
          <w:docGrid w:linePitch="354"/>
        </w:sectPr>
      </w:pPr>
    </w:p>
    <w:p w:rsidR="00E51F1F" w:rsidRDefault="00E51F1F" w:rsidP="00E51F1F"/>
    <w:p w:rsidR="00E51F1F" w:rsidRDefault="00E51F1F" w:rsidP="00E51F1F">
      <w:pPr>
        <w:pStyle w:val="Heading1"/>
      </w:pPr>
      <w:r>
        <w:br w:type="page"/>
      </w:r>
    </w:p>
    <w:p w:rsidR="00E51F1F" w:rsidRDefault="00E51F1F" w:rsidP="00E51F1F">
      <w:pPr>
        <w:spacing w:after="0"/>
        <w:jc w:val="left"/>
        <w:sectPr w:rsidR="00E51F1F" w:rsidSect="00635538">
          <w:footerReference w:type="default" r:id="rId25"/>
          <w:pgSz w:w="11906" w:h="16838" w:code="9"/>
          <w:pgMar w:top="1440" w:right="1440" w:bottom="1202" w:left="1440" w:header="1134" w:footer="720" w:gutter="0"/>
          <w:pgNumType w:fmt="lowerRoman" w:start="5"/>
          <w:cols w:space="720"/>
          <w:docGrid w:linePitch="354"/>
        </w:sectPr>
      </w:pPr>
    </w:p>
    <w:p w:rsidR="00E51F1F" w:rsidRPr="004B17F0" w:rsidRDefault="00E51F1F" w:rsidP="00E51F1F">
      <w:pPr>
        <w:pStyle w:val="Heading1"/>
      </w:pPr>
      <w:r>
        <w:lastRenderedPageBreak/>
        <w:t>Introduction</w:t>
      </w:r>
    </w:p>
    <w:p w:rsidR="00E51F1F" w:rsidRDefault="00E51F1F" w:rsidP="00E51F1F">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E51F1F" w:rsidRDefault="00E51F1F" w:rsidP="00E51F1F">
      <w:pPr>
        <w:pStyle w:val="Level1"/>
        <w:numPr>
          <w:ilvl w:val="0"/>
          <w:numId w:val="0"/>
        </w:numPr>
      </w:pPr>
      <w:r w:rsidRPr="00C75374">
        <w:t>The Federal Register of Legislative Instruments (FRLI) website should be consulted for the text of instruments and explanatory statements, as well as associated information. Instruments may be located on FRLI by entering the relevant FRLI number into the FRLI search field (the FRLI number is shown after the name of each instrument</w:t>
      </w:r>
      <w:r>
        <w:t>).</w:t>
      </w:r>
    </w:p>
    <w:p w:rsidR="00E51F1F" w:rsidRDefault="00E51F1F" w:rsidP="00E51F1F">
      <w:pPr>
        <w:pStyle w:val="Heading3"/>
      </w:pPr>
      <w:r>
        <w:t>The committee's terms of reference</w:t>
      </w:r>
    </w:p>
    <w:p w:rsidR="00E51F1F" w:rsidRPr="00D233E5" w:rsidRDefault="00E51F1F" w:rsidP="00E51F1F">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E51F1F" w:rsidRPr="00BF47FD" w:rsidRDefault="00E51F1F" w:rsidP="00E51F1F">
      <w:pPr>
        <w:pStyle w:val="Quote"/>
        <w:ind w:left="1276" w:hanging="425"/>
      </w:pPr>
      <w:r>
        <w:t xml:space="preserve">(1) </w:t>
      </w:r>
      <w:r w:rsidRPr="00BF47FD">
        <w:t>A Standing Committee on Regulations and Ordinances shall be appointed at the commencement of each Parliament.</w:t>
      </w:r>
    </w:p>
    <w:p w:rsidR="00E51F1F" w:rsidRPr="00BF47FD" w:rsidRDefault="00E51F1F" w:rsidP="00E51F1F">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E51F1F" w:rsidRPr="00BF47FD" w:rsidRDefault="00E51F1F" w:rsidP="00E51F1F">
      <w:pPr>
        <w:pStyle w:val="Quote"/>
        <w:ind w:left="1276"/>
      </w:pPr>
      <w:r w:rsidRPr="00BF47FD">
        <w:t>The committee shall scrutinise each instrument to ensure:</w:t>
      </w:r>
    </w:p>
    <w:p w:rsidR="00E51F1F" w:rsidRPr="00BF47FD" w:rsidRDefault="00E51F1F" w:rsidP="00E51F1F">
      <w:pPr>
        <w:pStyle w:val="Quote"/>
        <w:tabs>
          <w:tab w:val="left" w:pos="1701"/>
        </w:tabs>
        <w:ind w:left="1701" w:hanging="425"/>
      </w:pPr>
      <w:r>
        <w:t>(a)</w:t>
      </w:r>
      <w:r>
        <w:tab/>
      </w:r>
      <w:r w:rsidRPr="00BF47FD">
        <w:t>that it is in accordance with the statute;</w:t>
      </w:r>
    </w:p>
    <w:p w:rsidR="00E51F1F" w:rsidRPr="00BF47FD" w:rsidRDefault="00E51F1F" w:rsidP="00E51F1F">
      <w:pPr>
        <w:pStyle w:val="Quote"/>
        <w:tabs>
          <w:tab w:val="left" w:pos="1701"/>
        </w:tabs>
        <w:ind w:left="1701" w:hanging="425"/>
      </w:pPr>
      <w:r>
        <w:t>(b)</w:t>
      </w:r>
      <w:r>
        <w:tab/>
      </w:r>
      <w:r w:rsidRPr="00BF47FD">
        <w:t>that it does not trespass unduly on personal rights and liberties;</w:t>
      </w:r>
    </w:p>
    <w:p w:rsidR="00E51F1F" w:rsidRPr="00BF47FD" w:rsidRDefault="00E51F1F" w:rsidP="00E51F1F">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E51F1F" w:rsidRDefault="00E51F1F" w:rsidP="00E51F1F">
      <w:pPr>
        <w:pStyle w:val="Quote"/>
        <w:tabs>
          <w:tab w:val="left" w:pos="1701"/>
        </w:tabs>
        <w:ind w:left="1701" w:hanging="425"/>
      </w:pPr>
      <w:r>
        <w:t>(d)</w:t>
      </w:r>
      <w:r>
        <w:tab/>
      </w:r>
      <w:r w:rsidRPr="00BF47FD">
        <w:t>that it does not contain matter more appropriate for parliamentary enactment.</w:t>
      </w:r>
    </w:p>
    <w:p w:rsidR="00E51F1F" w:rsidRDefault="00E51F1F" w:rsidP="00E51F1F">
      <w:pPr>
        <w:pStyle w:val="Heading3"/>
      </w:pPr>
      <w:r w:rsidRPr="00F063AA">
        <w:lastRenderedPageBreak/>
        <w:t>Work of the committee</w:t>
      </w:r>
    </w:p>
    <w:p w:rsidR="00E51F1F" w:rsidRPr="00F063AA" w:rsidRDefault="00E51F1F" w:rsidP="00E51F1F">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E51F1F" w:rsidRDefault="00E51F1F" w:rsidP="00E51F1F">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E51F1F" w:rsidRDefault="00E51F1F" w:rsidP="00E51F1F">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E51F1F" w:rsidRDefault="00E51F1F" w:rsidP="00E51F1F">
      <w:pPr>
        <w:pStyle w:val="Heading3"/>
      </w:pPr>
      <w:r>
        <w:t>Structure of the report</w:t>
      </w:r>
    </w:p>
    <w:p w:rsidR="00E51F1F" w:rsidRDefault="00E51F1F" w:rsidP="00E51F1F">
      <w:pPr>
        <w:pStyle w:val="Level1"/>
        <w:numPr>
          <w:ilvl w:val="0"/>
          <w:numId w:val="0"/>
        </w:numPr>
      </w:pPr>
      <w:r>
        <w:t>The report is comprised of the following parts:</w:t>
      </w:r>
    </w:p>
    <w:p w:rsidR="00E51F1F" w:rsidRDefault="00E51F1F" w:rsidP="00E51F1F">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E51F1F" w:rsidRDefault="00E51F1F" w:rsidP="00E51F1F">
      <w:pPr>
        <w:pStyle w:val="Bullet1"/>
        <w:spacing w:after="120"/>
      </w:pPr>
      <w:r>
        <w:t>Chapter 2, 'Concluded matters', sets out any previous matters which have been concluded to the satisfaction of the committee, including by the giving of an undertaking to review, amend or remake a given instrument at a future date;</w:t>
      </w:r>
    </w:p>
    <w:p w:rsidR="00E51F1F" w:rsidRDefault="00E51F1F" w:rsidP="00E51F1F">
      <w:pPr>
        <w:pStyle w:val="Bullet1"/>
        <w:spacing w:after="120"/>
      </w:pPr>
      <w:r>
        <w:t xml:space="preserve">Appendix 1 contains the committee's guideline on addressing the consultation requirements of the </w:t>
      </w:r>
      <w:r>
        <w:rPr>
          <w:i/>
        </w:rPr>
        <w:t>Legislative Instruments Act 2003</w:t>
      </w:r>
      <w:r>
        <w:t>.</w:t>
      </w:r>
    </w:p>
    <w:p w:rsidR="00E51F1F" w:rsidRDefault="00E51F1F" w:rsidP="00E51F1F">
      <w:pPr>
        <w:pStyle w:val="Bullet1"/>
        <w:spacing w:after="120"/>
      </w:pPr>
      <w:r>
        <w:t>Appendix 2 contains correspondence relating to concluded matters.</w:t>
      </w:r>
    </w:p>
    <w:p w:rsidR="00E51F1F" w:rsidRDefault="00E51F1F" w:rsidP="00E51F1F">
      <w:pPr>
        <w:pStyle w:val="Heading3"/>
      </w:pPr>
      <w:r>
        <w:t>Acknowledgement</w:t>
      </w:r>
    </w:p>
    <w:p w:rsidR="00E51F1F" w:rsidRDefault="00E51F1F" w:rsidP="00E51F1F">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E51F1F" w:rsidRPr="00364316" w:rsidRDefault="00E51F1F" w:rsidP="00E51F1F">
      <w:pPr>
        <w:pStyle w:val="Bullet1"/>
        <w:numPr>
          <w:ilvl w:val="0"/>
          <w:numId w:val="0"/>
        </w:numPr>
        <w:ind w:left="851" w:hanging="851"/>
        <w:rPr>
          <w:b/>
        </w:rPr>
      </w:pPr>
      <w:r w:rsidRPr="00364316">
        <w:rPr>
          <w:b/>
        </w:rPr>
        <w:t xml:space="preserve">Senator </w:t>
      </w:r>
      <w:r>
        <w:rPr>
          <w:b/>
        </w:rPr>
        <w:t>John Williams</w:t>
      </w:r>
    </w:p>
    <w:p w:rsidR="00E51F1F" w:rsidRPr="00364316" w:rsidRDefault="00E51F1F" w:rsidP="00E51F1F">
      <w:pPr>
        <w:pStyle w:val="Bullet1"/>
        <w:numPr>
          <w:ilvl w:val="0"/>
          <w:numId w:val="0"/>
        </w:numPr>
        <w:ind w:left="851" w:hanging="851"/>
        <w:rPr>
          <w:b/>
        </w:rPr>
      </w:pPr>
      <w:r w:rsidRPr="00364316">
        <w:rPr>
          <w:b/>
        </w:rPr>
        <w:t>Chair</w:t>
      </w:r>
    </w:p>
    <w:p w:rsidR="00E51F1F" w:rsidRDefault="00E51F1F" w:rsidP="00E51F1F">
      <w:pPr>
        <w:spacing w:after="0"/>
        <w:jc w:val="left"/>
        <w:sectPr w:rsidR="00E51F1F" w:rsidSect="003545B5">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202" w:left="1440" w:header="1134" w:footer="720" w:gutter="0"/>
          <w:pgNumType w:fmt="lowerRoman" w:start="7"/>
          <w:cols w:space="720"/>
          <w:titlePg/>
        </w:sectPr>
      </w:pPr>
    </w:p>
    <w:p w:rsidR="00E51F1F" w:rsidRPr="001F4E38" w:rsidRDefault="00E51F1F" w:rsidP="00E51F1F">
      <w:pPr>
        <w:pStyle w:val="Heading1"/>
      </w:pPr>
      <w:r w:rsidRPr="001F4E38">
        <w:lastRenderedPageBreak/>
        <w:t>Chapter 1</w:t>
      </w:r>
    </w:p>
    <w:p w:rsidR="00E51F1F" w:rsidRPr="001F4E38" w:rsidRDefault="00E51F1F" w:rsidP="00E51F1F">
      <w:pPr>
        <w:pStyle w:val="Heading2"/>
      </w:pPr>
      <w:r w:rsidRPr="001F4E38">
        <w:t>New and continuing matters</w:t>
      </w:r>
    </w:p>
    <w:p w:rsidR="00E51F1F" w:rsidRPr="001F4E38" w:rsidRDefault="00E51F1F" w:rsidP="00E51F1F">
      <w:pPr>
        <w:pStyle w:val="Level1"/>
        <w:numPr>
          <w:ilvl w:val="0"/>
          <w:numId w:val="0"/>
        </w:numPr>
      </w:pPr>
      <w:r w:rsidRPr="001F4E38">
        <w:t xml:space="preserve">This chapter lists new matters identified by the committee at its meeting on </w:t>
      </w:r>
      <w:r w:rsidRPr="006F2B46">
        <w:rPr>
          <w:b/>
        </w:rPr>
        <w:t xml:space="preserve">1 October </w:t>
      </w:r>
      <w:r w:rsidRPr="001F4E38">
        <w:rPr>
          <w:b/>
        </w:rPr>
        <w:t>2014</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E51F1F" w:rsidRDefault="00E51F1F" w:rsidP="00E51F1F">
      <w:pPr>
        <w:pStyle w:val="Level1"/>
        <w:numPr>
          <w:ilvl w:val="0"/>
          <w:numId w:val="0"/>
        </w:numPr>
      </w:pPr>
      <w:r w:rsidRPr="001F4E38">
        <w:t>Matters which the committee draws to the attention of the relevant minister or instrument maker are raised on an advice-only basis and do not require a response.</w:t>
      </w:r>
    </w:p>
    <w:p w:rsidR="00E51F1F" w:rsidRDefault="00E51F1F" w:rsidP="00E51F1F">
      <w:pPr>
        <w:pStyle w:val="Level1"/>
        <w:numPr>
          <w:ilvl w:val="0"/>
          <w:numId w:val="0"/>
        </w:numPr>
      </w:pPr>
      <w:r>
        <w:t>This report considers all disallowable instruments tabled between 5 September 2014 and 12 September 2014. All instruments tabled in this period are listed on the Senate Disallowable Instruments List.</w:t>
      </w:r>
      <w:r>
        <w:rPr>
          <w:rStyle w:val="FootnoteReference"/>
        </w:rPr>
        <w:footnoteReference w:id="3"/>
      </w:r>
    </w:p>
    <w:p w:rsidR="00E51F1F" w:rsidRDefault="00E51F1F" w:rsidP="00E51F1F">
      <w:pPr>
        <w:pStyle w:val="Heading2"/>
      </w:pPr>
      <w:r>
        <w:t>New matters</w:t>
      </w:r>
    </w:p>
    <w:p w:rsidR="00E51F1F" w:rsidRDefault="00E51F1F" w:rsidP="00E51F1F">
      <w:pPr>
        <w:pStyle w:val="Heading3"/>
      </w:pPr>
      <w:r w:rsidRPr="00534FFE">
        <w:t>Work Health and Safety Exemption (Construction induction training - ASC AWD Shipbuilder Pty Ltd and overseas technica</w:t>
      </w:r>
      <w:r>
        <w:t>l specialists) (September 2014) [</w:t>
      </w:r>
      <w:r w:rsidRPr="00534FFE">
        <w:t>F2014L01195</w:t>
      </w:r>
      <w:r>
        <w:t>]</w:t>
      </w:r>
    </w:p>
    <w:p w:rsidR="00E51F1F" w:rsidRDefault="00E51F1F" w:rsidP="00E51F1F">
      <w:pPr>
        <w:spacing w:after="120"/>
      </w:pPr>
    </w:p>
    <w:tbl>
      <w:tblPr>
        <w:tblW w:w="0" w:type="auto"/>
        <w:tblInd w:w="108" w:type="dxa"/>
        <w:tblLook w:val="04A0" w:firstRow="1" w:lastRow="0" w:firstColumn="1" w:lastColumn="0" w:noHBand="0" w:noVBand="1"/>
      </w:tblPr>
      <w:tblGrid>
        <w:gridCol w:w="2694"/>
        <w:gridCol w:w="6378"/>
      </w:tblGrid>
      <w:tr w:rsidR="00E51F1F" w:rsidTr="00E76B11">
        <w:tc>
          <w:tcPr>
            <w:tcW w:w="2694" w:type="dxa"/>
            <w:tcBorders>
              <w:top w:val="single" w:sz="12" w:space="0" w:color="auto"/>
              <w:left w:val="nil"/>
              <w:bottom w:val="nil"/>
              <w:right w:val="single" w:sz="12" w:space="0" w:color="auto"/>
            </w:tcBorders>
            <w:hideMark/>
          </w:tcPr>
          <w:p w:rsidR="00E51F1F" w:rsidRDefault="00E51F1F" w:rsidP="00E76B11">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E51F1F" w:rsidRPr="00D563BD" w:rsidRDefault="00E51F1F" w:rsidP="00E76B11">
            <w:pPr>
              <w:spacing w:before="120" w:after="120"/>
              <w:rPr>
                <w:i/>
                <w:sz w:val="24"/>
                <w:szCs w:val="24"/>
              </w:rPr>
            </w:pPr>
            <w:r>
              <w:rPr>
                <w:sz w:val="24"/>
                <w:szCs w:val="24"/>
              </w:rPr>
              <w:t>P</w:t>
            </w:r>
            <w:r w:rsidRPr="00534FFE">
              <w:rPr>
                <w:sz w:val="24"/>
                <w:szCs w:val="24"/>
              </w:rPr>
              <w:t>rovides for grant of an exemption under the Work Health and Safety Regulations 2011 from the requirement for ASC AWD Shipbuilder Pty Ltd to ensure certain workers (i.e. technical specialists) have undergone construction induction training, and also grants certain workers (i.e. technical specialists) an exemption from the construction induction training requirement</w:t>
            </w:r>
          </w:p>
        </w:tc>
      </w:tr>
      <w:tr w:rsidR="00E51F1F" w:rsidTr="00E76B11">
        <w:tc>
          <w:tcPr>
            <w:tcW w:w="2694" w:type="dxa"/>
            <w:tcBorders>
              <w:top w:val="nil"/>
              <w:left w:val="nil"/>
              <w:bottom w:val="nil"/>
              <w:right w:val="single" w:sz="12" w:space="0" w:color="auto"/>
            </w:tcBorders>
            <w:hideMark/>
          </w:tcPr>
          <w:p w:rsidR="00E51F1F" w:rsidRDefault="00E51F1F" w:rsidP="00E76B11">
            <w:pPr>
              <w:spacing w:before="120" w:after="120"/>
              <w:rPr>
                <w:b/>
                <w:sz w:val="24"/>
                <w:szCs w:val="24"/>
              </w:rPr>
            </w:pPr>
            <w:r w:rsidRPr="00A77228">
              <w:rPr>
                <w:b/>
                <w:sz w:val="24"/>
                <w:szCs w:val="24"/>
              </w:rPr>
              <w:t>Last day to disallow</w:t>
            </w:r>
            <w:r>
              <w:rPr>
                <w:rStyle w:val="FootnoteReference"/>
                <w:b/>
                <w:sz w:val="24"/>
                <w:szCs w:val="24"/>
              </w:rPr>
              <w:footnoteReference w:id="4"/>
            </w:r>
          </w:p>
        </w:tc>
        <w:tc>
          <w:tcPr>
            <w:tcW w:w="6378" w:type="dxa"/>
            <w:tcBorders>
              <w:top w:val="nil"/>
              <w:left w:val="single" w:sz="12" w:space="0" w:color="auto"/>
              <w:bottom w:val="nil"/>
              <w:right w:val="nil"/>
            </w:tcBorders>
            <w:hideMark/>
          </w:tcPr>
          <w:p w:rsidR="00E51F1F" w:rsidRDefault="00E51F1F" w:rsidP="00E76B11">
            <w:pPr>
              <w:spacing w:before="120" w:after="120"/>
              <w:rPr>
                <w:sz w:val="24"/>
                <w:szCs w:val="24"/>
              </w:rPr>
            </w:pPr>
            <w:r>
              <w:rPr>
                <w:noProof/>
                <w:sz w:val="24"/>
                <w:szCs w:val="24"/>
              </w:rPr>
              <w:t>1 December 2014</w:t>
            </w:r>
          </w:p>
        </w:tc>
      </w:tr>
      <w:tr w:rsidR="00E51F1F" w:rsidTr="00E76B11">
        <w:tc>
          <w:tcPr>
            <w:tcW w:w="2694" w:type="dxa"/>
            <w:tcBorders>
              <w:top w:val="nil"/>
              <w:left w:val="nil"/>
              <w:bottom w:val="nil"/>
              <w:right w:val="single" w:sz="12" w:space="0" w:color="auto"/>
            </w:tcBorders>
            <w:hideMark/>
          </w:tcPr>
          <w:p w:rsidR="00E51F1F" w:rsidRDefault="00E51F1F" w:rsidP="00E76B11">
            <w:pPr>
              <w:spacing w:before="120" w:after="120"/>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E51F1F" w:rsidRDefault="00E51F1F" w:rsidP="00E76B11">
            <w:pPr>
              <w:spacing w:before="120" w:after="120"/>
              <w:rPr>
                <w:i/>
                <w:sz w:val="24"/>
                <w:szCs w:val="24"/>
              </w:rPr>
            </w:pPr>
            <w:r>
              <w:rPr>
                <w:i/>
                <w:noProof/>
                <w:sz w:val="24"/>
                <w:szCs w:val="24"/>
              </w:rPr>
              <w:t>Work Health and Safety Regulations 2011</w:t>
            </w:r>
          </w:p>
        </w:tc>
      </w:tr>
      <w:tr w:rsidR="00E51F1F" w:rsidTr="00E76B11">
        <w:tc>
          <w:tcPr>
            <w:tcW w:w="2694" w:type="dxa"/>
            <w:tcBorders>
              <w:top w:val="nil"/>
              <w:left w:val="nil"/>
              <w:bottom w:val="single" w:sz="12" w:space="0" w:color="auto"/>
              <w:right w:val="single" w:sz="12" w:space="0" w:color="auto"/>
            </w:tcBorders>
            <w:hideMark/>
          </w:tcPr>
          <w:p w:rsidR="00E51F1F" w:rsidRDefault="00E51F1F" w:rsidP="00E76B11">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E51F1F" w:rsidRDefault="00E51F1F" w:rsidP="00E76B11">
            <w:pPr>
              <w:spacing w:before="120" w:after="120"/>
              <w:rPr>
                <w:sz w:val="24"/>
                <w:szCs w:val="24"/>
              </w:rPr>
            </w:pPr>
            <w:r>
              <w:rPr>
                <w:noProof/>
                <w:sz w:val="24"/>
                <w:szCs w:val="24"/>
              </w:rPr>
              <w:t>Employment</w:t>
            </w:r>
          </w:p>
        </w:tc>
      </w:tr>
    </w:tbl>
    <w:p w:rsidR="00E51F1F" w:rsidRDefault="00E51F1F" w:rsidP="00E51F1F">
      <w:pPr>
        <w:spacing w:after="0"/>
        <w:rPr>
          <w:szCs w:val="26"/>
        </w:rPr>
      </w:pPr>
    </w:p>
    <w:p w:rsidR="00E51F1F" w:rsidRDefault="00E51F1F" w:rsidP="00E51F1F">
      <w:pPr>
        <w:spacing w:after="120"/>
        <w:rPr>
          <w:b/>
          <w:szCs w:val="26"/>
        </w:rPr>
      </w:pPr>
      <w:r>
        <w:rPr>
          <w:b/>
          <w:szCs w:val="26"/>
        </w:rPr>
        <w:t>Issue:</w:t>
      </w:r>
    </w:p>
    <w:p w:rsidR="00E51F1F" w:rsidRDefault="00E51F1F" w:rsidP="00E51F1F">
      <w:pPr>
        <w:rPr>
          <w:i/>
          <w:noProof/>
        </w:rPr>
      </w:pPr>
      <w:r>
        <w:rPr>
          <w:i/>
          <w:noProof/>
        </w:rPr>
        <w:lastRenderedPageBreak/>
        <w:t>No description regarding consultation</w:t>
      </w:r>
    </w:p>
    <w:p w:rsidR="00E51F1F" w:rsidRDefault="00E51F1F" w:rsidP="00E51F1F">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provides no description of the nature of the consultation undertaken. </w:t>
      </w:r>
      <w:r>
        <w:rPr>
          <w:b/>
        </w:rPr>
        <w:t xml:space="preserve">The committee therefore requests further information from the minister; and requests that the ES be updated in accordance with the requirements of the </w:t>
      </w:r>
      <w:r>
        <w:rPr>
          <w:b/>
          <w:i/>
        </w:rPr>
        <w:t>Legislative Instruments Act 2003</w:t>
      </w:r>
      <w:r>
        <w:t>.</w:t>
      </w:r>
    </w:p>
    <w:p w:rsidR="00E51F1F" w:rsidRDefault="00E51F1F" w:rsidP="00E51F1F">
      <w:pPr>
        <w:pStyle w:val="Heading2"/>
        <w:spacing w:before="240"/>
      </w:pPr>
      <w:r>
        <w:t>Continuing matters</w:t>
      </w:r>
    </w:p>
    <w:p w:rsidR="00E51F1F" w:rsidRPr="00BC0AE8" w:rsidRDefault="00E51F1F" w:rsidP="00E51F1F">
      <w:pPr>
        <w:pStyle w:val="Heading3"/>
      </w:pPr>
      <w:r w:rsidRPr="00075F16">
        <w:t xml:space="preserve">Multiple instruments </w:t>
      </w:r>
      <w:r w:rsidRPr="00E35D4F">
        <w:t xml:space="preserve">that appear to rely on subsection 33(3) of the </w:t>
      </w:r>
      <w:r w:rsidRPr="00D66E0A">
        <w:rPr>
          <w:i/>
        </w:rPr>
        <w:t>Acts Interpretation Act 1901</w:t>
      </w:r>
    </w:p>
    <w:p w:rsidR="00E51F1F" w:rsidRPr="00E35D4F" w:rsidRDefault="00E51F1F" w:rsidP="00E51F1F">
      <w:r w:rsidRPr="00E35D4F">
        <w:t xml:space="preserve">The committee has identified a number of instruments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E51F1F" w:rsidRDefault="00E51F1F" w:rsidP="00E51F1F">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5"/>
      </w:r>
    </w:p>
    <w:p w:rsidR="00E51F1F" w:rsidRDefault="00E51F1F" w:rsidP="00E51F1F">
      <w:pPr>
        <w:rPr>
          <w:b/>
        </w:rPr>
      </w:pPr>
      <w:r w:rsidRPr="00E35D4F">
        <w:rPr>
          <w:b/>
        </w:rPr>
        <w:t xml:space="preserve">The committee therefore draws this issue to the attention of ministers and instrument-makers responsible for the </w:t>
      </w:r>
      <w:r>
        <w:rPr>
          <w:b/>
        </w:rPr>
        <w:t>following instruments:</w:t>
      </w:r>
    </w:p>
    <w:tbl>
      <w:tblPr>
        <w:tblStyle w:val="TableGrid"/>
        <w:tblW w:w="0" w:type="auto"/>
        <w:tblInd w:w="392" w:type="dxa"/>
        <w:tblLook w:val="04A0" w:firstRow="1" w:lastRow="0" w:firstColumn="1" w:lastColumn="0" w:noHBand="0" w:noVBand="1"/>
      </w:tblPr>
      <w:tblGrid>
        <w:gridCol w:w="8505"/>
      </w:tblGrid>
      <w:tr w:rsidR="00E51F1F" w:rsidRPr="004B6804" w:rsidTr="00E76B11">
        <w:tc>
          <w:tcPr>
            <w:tcW w:w="8505" w:type="dxa"/>
            <w:tcBorders>
              <w:top w:val="nil"/>
              <w:left w:val="nil"/>
              <w:bottom w:val="nil"/>
              <w:right w:val="nil"/>
            </w:tcBorders>
          </w:tcPr>
          <w:p w:rsidR="00E51F1F" w:rsidRPr="004B6804" w:rsidRDefault="00E51F1F" w:rsidP="00E76B11">
            <w:pPr>
              <w:rPr>
                <w:color w:val="000000"/>
                <w:sz w:val="22"/>
                <w:szCs w:val="22"/>
              </w:rPr>
            </w:pPr>
            <w:r w:rsidRPr="00EE0372">
              <w:rPr>
                <w:color w:val="000000"/>
                <w:sz w:val="22"/>
                <w:szCs w:val="22"/>
              </w:rPr>
              <w:t>Plant Health Australia (Plant Industries) Funding Determination 2014 [F2014L01206]</w:t>
            </w:r>
          </w:p>
        </w:tc>
      </w:tr>
      <w:tr w:rsidR="00E51F1F" w:rsidRPr="004B6804" w:rsidTr="00E76B11">
        <w:tc>
          <w:tcPr>
            <w:tcW w:w="8505" w:type="dxa"/>
            <w:tcBorders>
              <w:top w:val="nil"/>
              <w:left w:val="nil"/>
              <w:bottom w:val="nil"/>
              <w:right w:val="nil"/>
            </w:tcBorders>
          </w:tcPr>
          <w:p w:rsidR="00E51F1F" w:rsidRPr="004B6804" w:rsidRDefault="00E51F1F" w:rsidP="00E76B11">
            <w:pPr>
              <w:rPr>
                <w:color w:val="000000"/>
                <w:sz w:val="22"/>
                <w:szCs w:val="22"/>
              </w:rPr>
            </w:pPr>
            <w:r w:rsidRPr="00EE0372">
              <w:rPr>
                <w:color w:val="000000"/>
                <w:sz w:val="22"/>
                <w:szCs w:val="22"/>
              </w:rPr>
              <w:t>Australian Passports Amendment Determination 2014 (No. 1) [F2014L01194]</w:t>
            </w:r>
          </w:p>
        </w:tc>
      </w:tr>
    </w:tbl>
    <w:p w:rsidR="00E51F1F" w:rsidRDefault="00E51F1F" w:rsidP="00E51F1F">
      <w:pPr>
        <w:spacing w:after="0"/>
        <w:jc w:val="left"/>
        <w:sectPr w:rsidR="00E51F1F" w:rsidSect="00B66643">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202" w:left="1440" w:header="1134" w:footer="720" w:gutter="0"/>
          <w:pgNumType w:start="1"/>
          <w:cols w:space="720"/>
          <w:titlePg/>
        </w:sectPr>
      </w:pPr>
    </w:p>
    <w:p w:rsidR="00E51F1F" w:rsidRPr="0076670E" w:rsidRDefault="00E51F1F" w:rsidP="00E51F1F">
      <w:pPr>
        <w:pStyle w:val="Heading1"/>
      </w:pPr>
      <w:r w:rsidRPr="0076670E">
        <w:lastRenderedPageBreak/>
        <w:t>Chapter 2</w:t>
      </w:r>
    </w:p>
    <w:p w:rsidR="00E51F1F" w:rsidRPr="0076670E" w:rsidRDefault="00E51F1F" w:rsidP="00E51F1F">
      <w:pPr>
        <w:pStyle w:val="Heading2"/>
      </w:pPr>
      <w:r w:rsidRPr="0076670E">
        <w:t>Concluded matters</w:t>
      </w:r>
    </w:p>
    <w:p w:rsidR="00E51F1F" w:rsidRPr="0076670E" w:rsidRDefault="00E51F1F" w:rsidP="00E51F1F">
      <w:pPr>
        <w:pStyle w:val="Level1"/>
        <w:numPr>
          <w:ilvl w:val="0"/>
          <w:numId w:val="0"/>
        </w:numPr>
      </w:pPr>
      <w:r w:rsidRPr="0076670E">
        <w:t>This chapter lists matters previously raised by the committee and considered at its meeting on</w:t>
      </w:r>
      <w:r>
        <w:t xml:space="preserve"> </w:t>
      </w:r>
      <w:r w:rsidRPr="001B1785">
        <w:rPr>
          <w:b/>
        </w:rPr>
        <w:t>1 October</w:t>
      </w:r>
      <w:r>
        <w:rPr>
          <w:b/>
        </w:rPr>
        <w:t> 2014</w:t>
      </w:r>
      <w:r w:rsidRPr="0076670E">
        <w:t>. The committee has concluded its interest in these matters on the basis of responses received from ministers or relevant instrument-makers.</w:t>
      </w:r>
    </w:p>
    <w:p w:rsidR="00E51F1F" w:rsidRDefault="00E51F1F" w:rsidP="00E51F1F">
      <w:pPr>
        <w:pStyle w:val="Level1"/>
        <w:numPr>
          <w:ilvl w:val="0"/>
          <w:numId w:val="0"/>
        </w:numPr>
      </w:pPr>
      <w:r w:rsidRPr="0076670E">
        <w:t xml:space="preserve">Correspondence relating to these matters is included at Appendix </w:t>
      </w:r>
      <w:r>
        <w:t>2</w:t>
      </w:r>
      <w:r w:rsidRPr="0076670E">
        <w:t>.</w:t>
      </w:r>
    </w:p>
    <w:p w:rsidR="00E51F1F" w:rsidRDefault="00E51F1F" w:rsidP="00E51F1F">
      <w:pPr>
        <w:pStyle w:val="Level1"/>
        <w:numPr>
          <w:ilvl w:val="0"/>
          <w:numId w:val="0"/>
        </w:numPr>
      </w:pPr>
    </w:p>
    <w:p w:rsidR="00E51F1F" w:rsidRDefault="00E51F1F" w:rsidP="00E51F1F">
      <w:pPr>
        <w:pStyle w:val="Heading3"/>
        <w:spacing w:after="0"/>
      </w:pPr>
      <w:r w:rsidRPr="00DD408A">
        <w:rPr>
          <w:noProof/>
        </w:rPr>
        <w:t xml:space="preserve">Family Law (Bilateral Arrangements-Intercountry Adoption) Amendment (2014 </w:t>
      </w:r>
      <w:r>
        <w:rPr>
          <w:noProof/>
        </w:rPr>
        <w:t>Measures No. 2) Regulation 2014 [</w:t>
      </w:r>
      <w:r w:rsidRPr="00DD408A">
        <w:rPr>
          <w:noProof/>
        </w:rPr>
        <w:t>F2014L00857</w:t>
      </w:r>
      <w:r>
        <w:rPr>
          <w:noProof/>
        </w:rPr>
        <w:t>]</w:t>
      </w:r>
    </w:p>
    <w:p w:rsidR="00E51F1F" w:rsidRPr="00DD408A" w:rsidRDefault="00E51F1F" w:rsidP="00E51F1F"/>
    <w:tbl>
      <w:tblPr>
        <w:tblW w:w="0" w:type="auto"/>
        <w:tblInd w:w="108" w:type="dxa"/>
        <w:tblLook w:val="04A0" w:firstRow="1" w:lastRow="0" w:firstColumn="1" w:lastColumn="0" w:noHBand="0" w:noVBand="1"/>
      </w:tblPr>
      <w:tblGrid>
        <w:gridCol w:w="2694"/>
        <w:gridCol w:w="6378"/>
      </w:tblGrid>
      <w:tr w:rsidR="00E51F1F" w:rsidTr="00E76B11">
        <w:tc>
          <w:tcPr>
            <w:tcW w:w="2694" w:type="dxa"/>
            <w:tcBorders>
              <w:top w:val="single" w:sz="12" w:space="0" w:color="auto"/>
              <w:left w:val="nil"/>
              <w:bottom w:val="nil"/>
              <w:right w:val="single" w:sz="12" w:space="0" w:color="auto"/>
            </w:tcBorders>
            <w:hideMark/>
          </w:tcPr>
          <w:p w:rsidR="00E51F1F" w:rsidRDefault="00E51F1F" w:rsidP="00E76B11">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E51F1F" w:rsidRPr="00D563BD" w:rsidRDefault="00E51F1F" w:rsidP="00E76B11">
            <w:pPr>
              <w:rPr>
                <w:i/>
                <w:sz w:val="24"/>
                <w:szCs w:val="24"/>
              </w:rPr>
            </w:pPr>
            <w:r>
              <w:rPr>
                <w:sz w:val="24"/>
                <w:szCs w:val="24"/>
              </w:rPr>
              <w:t>A</w:t>
            </w:r>
            <w:r w:rsidRPr="00000F8F">
              <w:rPr>
                <w:sz w:val="24"/>
                <w:szCs w:val="24"/>
              </w:rPr>
              <w:t xml:space="preserve">mends </w:t>
            </w:r>
            <w:r w:rsidRPr="00DD408A">
              <w:rPr>
                <w:sz w:val="24"/>
                <w:szCs w:val="24"/>
              </w:rPr>
              <w:t>the Family Law (Bilateral Arrangements—Intercountry Adoption) Regulations 1998 to clarify that adoptions of children from Taiwan, Ethiopia and South Korea that took place prior to those overseas jurisdictions being prescribed under the Principal Regulation are automatically recognised under Australian laws</w:t>
            </w:r>
          </w:p>
        </w:tc>
      </w:tr>
      <w:tr w:rsidR="00E51F1F" w:rsidTr="00E76B11">
        <w:tc>
          <w:tcPr>
            <w:tcW w:w="2694" w:type="dxa"/>
            <w:tcBorders>
              <w:top w:val="nil"/>
              <w:left w:val="nil"/>
              <w:bottom w:val="nil"/>
              <w:right w:val="single" w:sz="12" w:space="0" w:color="auto"/>
            </w:tcBorders>
            <w:hideMark/>
          </w:tcPr>
          <w:p w:rsidR="00E51F1F" w:rsidRDefault="00E51F1F" w:rsidP="00E76B11">
            <w:pPr>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E51F1F" w:rsidRDefault="00E51F1F" w:rsidP="00E76B11">
            <w:pPr>
              <w:rPr>
                <w:sz w:val="24"/>
                <w:szCs w:val="24"/>
              </w:rPr>
            </w:pPr>
            <w:r>
              <w:rPr>
                <w:noProof/>
                <w:sz w:val="24"/>
                <w:szCs w:val="24"/>
              </w:rPr>
              <w:t>4 September 2014</w:t>
            </w:r>
          </w:p>
        </w:tc>
      </w:tr>
      <w:tr w:rsidR="00E51F1F" w:rsidTr="00E76B11">
        <w:tc>
          <w:tcPr>
            <w:tcW w:w="2694" w:type="dxa"/>
            <w:tcBorders>
              <w:top w:val="nil"/>
              <w:left w:val="nil"/>
              <w:bottom w:val="nil"/>
              <w:right w:val="single" w:sz="12" w:space="0" w:color="auto"/>
            </w:tcBorders>
            <w:hideMark/>
          </w:tcPr>
          <w:p w:rsidR="00E51F1F" w:rsidRDefault="00E51F1F" w:rsidP="00E76B11">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E51F1F" w:rsidRDefault="00E51F1F" w:rsidP="00E76B11">
            <w:pPr>
              <w:rPr>
                <w:i/>
                <w:sz w:val="24"/>
                <w:szCs w:val="24"/>
              </w:rPr>
            </w:pPr>
            <w:r>
              <w:rPr>
                <w:i/>
                <w:noProof/>
                <w:sz w:val="24"/>
                <w:szCs w:val="24"/>
              </w:rPr>
              <w:t>Family Law Act 1975</w:t>
            </w:r>
          </w:p>
        </w:tc>
      </w:tr>
      <w:tr w:rsidR="00E51F1F" w:rsidTr="00E76B11">
        <w:tc>
          <w:tcPr>
            <w:tcW w:w="2694" w:type="dxa"/>
            <w:tcBorders>
              <w:top w:val="nil"/>
              <w:left w:val="nil"/>
              <w:bottom w:val="single" w:sz="12" w:space="0" w:color="auto"/>
              <w:right w:val="single" w:sz="12" w:space="0" w:color="auto"/>
            </w:tcBorders>
            <w:hideMark/>
          </w:tcPr>
          <w:p w:rsidR="00E51F1F" w:rsidRDefault="00E51F1F" w:rsidP="00E76B11">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E51F1F" w:rsidRDefault="00E51F1F" w:rsidP="00E76B11">
            <w:pPr>
              <w:rPr>
                <w:sz w:val="24"/>
                <w:szCs w:val="24"/>
              </w:rPr>
            </w:pPr>
            <w:r>
              <w:rPr>
                <w:noProof/>
                <w:sz w:val="24"/>
                <w:szCs w:val="24"/>
              </w:rPr>
              <w:t>Attorney-General's</w:t>
            </w:r>
          </w:p>
        </w:tc>
      </w:tr>
    </w:tbl>
    <w:p w:rsidR="00E51F1F" w:rsidRDefault="00E51F1F" w:rsidP="00E51F1F">
      <w:pPr>
        <w:spacing w:after="0"/>
        <w:rPr>
          <w:b/>
          <w:szCs w:val="26"/>
        </w:rPr>
      </w:pPr>
    </w:p>
    <w:p w:rsidR="00E51F1F" w:rsidRPr="00B76A21" w:rsidRDefault="00E51F1F" w:rsidP="00E51F1F">
      <w:pPr>
        <w:spacing w:after="0"/>
        <w:rPr>
          <w:b/>
          <w:szCs w:val="26"/>
        </w:rPr>
      </w:pPr>
      <w:r>
        <w:rPr>
          <w:b/>
          <w:szCs w:val="26"/>
        </w:rPr>
        <w:t>[</w:t>
      </w:r>
      <w:r>
        <w:rPr>
          <w:b/>
          <w:szCs w:val="26"/>
          <w:lang w:eastAsia="en-AU"/>
        </w:rPr>
        <w:t xml:space="preserve">The committee initially reported on this instrument in </w:t>
      </w:r>
      <w:r w:rsidRPr="00371B6A">
        <w:rPr>
          <w:b/>
          <w:i/>
          <w:szCs w:val="26"/>
          <w:lang w:eastAsia="en-AU"/>
        </w:rPr>
        <w:t>Delegated legislation monitor</w:t>
      </w:r>
      <w:r>
        <w:rPr>
          <w:b/>
          <w:i/>
          <w:szCs w:val="26"/>
          <w:lang w:eastAsia="en-AU"/>
        </w:rPr>
        <w:t xml:space="preserve"> </w:t>
      </w:r>
      <w:r>
        <w:rPr>
          <w:b/>
          <w:szCs w:val="26"/>
          <w:lang w:eastAsia="en-AU"/>
        </w:rPr>
        <w:t>No. 10 of 2014].</w:t>
      </w:r>
    </w:p>
    <w:p w:rsidR="00E51F1F" w:rsidRDefault="00E51F1F" w:rsidP="00E51F1F">
      <w:pPr>
        <w:rPr>
          <w:b/>
          <w:szCs w:val="26"/>
        </w:rPr>
      </w:pPr>
      <w:r>
        <w:rPr>
          <w:b/>
          <w:szCs w:val="26"/>
        </w:rPr>
        <w:t>Issue:</w:t>
      </w:r>
    </w:p>
    <w:p w:rsidR="00E51F1F" w:rsidRDefault="00E51F1F" w:rsidP="00E51F1F">
      <w:pPr>
        <w:rPr>
          <w:i/>
          <w:noProof/>
        </w:rPr>
      </w:pPr>
      <w:r>
        <w:rPr>
          <w:i/>
          <w:noProof/>
        </w:rPr>
        <w:t>Insufficient description regarding consultation</w:t>
      </w:r>
    </w:p>
    <w:p w:rsidR="00E51F1F" w:rsidRDefault="00E51F1F" w:rsidP="00E51F1F">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E51F1F" w:rsidRPr="00B01B9A" w:rsidRDefault="00E51F1F" w:rsidP="00E51F1F">
      <w:pPr>
        <w:pStyle w:val="Quote"/>
      </w:pPr>
      <w:r w:rsidRPr="00B01B9A">
        <w:t>The Office of Best Practice Regulation was consulted about the Regulation and advised that a Regulatory Impact Statement is not necessary</w:t>
      </w:r>
      <w:r>
        <w:t xml:space="preserve"> </w:t>
      </w:r>
      <w:r w:rsidRPr="00B01B9A">
        <w:t xml:space="preserve">as the </w:t>
      </w:r>
      <w:r w:rsidRPr="00B01B9A">
        <w:lastRenderedPageBreak/>
        <w:t>amendments were likely to have no or low regulatory impacts on business and individuals or on the economy.</w:t>
      </w:r>
    </w:p>
    <w:p w:rsidR="00E51F1F" w:rsidRDefault="00E51F1F" w:rsidP="00E51F1F">
      <w:r>
        <w:t xml:space="preserve">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Pr>
          <w:i/>
        </w:rPr>
        <w:t>Legislative Instruments Act 2003</w:t>
      </w:r>
      <w:r>
        <w:t xml:space="preserve">. The committee notes also that these requirements are distinct from the </w:t>
      </w:r>
      <w:r w:rsidRPr="00B76A21">
        <w:t>Office of Best Practice Regulation</w:t>
      </w:r>
      <w:r>
        <w:t xml:space="preserve"> requirements [</w:t>
      </w:r>
      <w:r>
        <w:rPr>
          <w:b/>
        </w:rPr>
        <w:t xml:space="preserve">the committee therefore requested further information from the Attorney-General; and requested that the ES be updated in accordance with the requirements of the </w:t>
      </w:r>
      <w:r>
        <w:rPr>
          <w:b/>
          <w:i/>
        </w:rPr>
        <w:t>Legislative Instruments Act 2003</w:t>
      </w:r>
      <w:r>
        <w:rPr>
          <w:b/>
          <w:sz w:val="24"/>
        </w:rPr>
        <w:t>].</w:t>
      </w:r>
    </w:p>
    <w:p w:rsidR="00E51F1F" w:rsidRDefault="00E51F1F" w:rsidP="00E51F1F">
      <w:pPr>
        <w:rPr>
          <w:b/>
          <w:noProof/>
        </w:rPr>
      </w:pPr>
      <w:r w:rsidRPr="00BD3B22">
        <w:rPr>
          <w:b/>
          <w:noProof/>
        </w:rPr>
        <w:t>MINISTER'S RESPONSE:</w:t>
      </w:r>
    </w:p>
    <w:p w:rsidR="00E51F1F" w:rsidRDefault="00E51F1F" w:rsidP="00E51F1F">
      <w:r>
        <w:t>The Attorney-General advised:</w:t>
      </w:r>
    </w:p>
    <w:p w:rsidR="00E51F1F" w:rsidRDefault="00E51F1F" w:rsidP="00E51F1F">
      <w:pPr>
        <w:pStyle w:val="Quote"/>
      </w:pPr>
      <w:r w:rsidRPr="001B1785">
        <w:t>My Department consulted with all state and territory central authorities responsible for the</w:t>
      </w:r>
      <w:r>
        <w:t xml:space="preserve"> </w:t>
      </w:r>
      <w:r w:rsidRPr="001B1785">
        <w:t>delivery of intercountry adoption services in Australia prior to the amendments that</w:t>
      </w:r>
      <w:r>
        <w:t xml:space="preserve"> </w:t>
      </w:r>
      <w:r w:rsidRPr="001B1785">
        <w:t>commenced on 4 March 2014. Given that the purpose of the regulation is to clarify those</w:t>
      </w:r>
      <w:r>
        <w:t xml:space="preserve"> </w:t>
      </w:r>
      <w:r w:rsidRPr="001B1785">
        <w:t>amendments and the perceived need for clarification was raised by one jurisdiction, limited</w:t>
      </w:r>
      <w:r>
        <w:t xml:space="preserve"> </w:t>
      </w:r>
      <w:r w:rsidRPr="001B1785">
        <w:t>further consultation was undertaken with only that jurisdiction.</w:t>
      </w:r>
    </w:p>
    <w:p w:rsidR="00E51F1F" w:rsidRPr="001B1785" w:rsidRDefault="00E51F1F" w:rsidP="00E51F1F">
      <w:r>
        <w:t>The</w:t>
      </w:r>
      <w:r w:rsidRPr="001B1785">
        <w:t xml:space="preserve"> </w:t>
      </w:r>
      <w:r>
        <w:t>Attorney-General further advised that the ES had been amended to include the information provided.</w:t>
      </w:r>
    </w:p>
    <w:p w:rsidR="00E51F1F" w:rsidRPr="0076670E" w:rsidRDefault="00E51F1F" w:rsidP="00E51F1F">
      <w:pPr>
        <w:pStyle w:val="Level1"/>
        <w:numPr>
          <w:ilvl w:val="0"/>
          <w:numId w:val="0"/>
        </w:numPr>
        <w:rPr>
          <w:b/>
        </w:rPr>
      </w:pPr>
      <w:r w:rsidRPr="0076670E">
        <w:rPr>
          <w:b/>
        </w:rPr>
        <w:t>COMMITTEE RESPONSE:</w:t>
      </w:r>
    </w:p>
    <w:p w:rsidR="00E51F1F" w:rsidRDefault="00E51F1F" w:rsidP="00E51F1F">
      <w:pPr>
        <w:pStyle w:val="Level1"/>
        <w:numPr>
          <w:ilvl w:val="0"/>
          <w:numId w:val="0"/>
        </w:numPr>
      </w:pPr>
      <w:r w:rsidRPr="001065DB">
        <w:rPr>
          <w:b/>
        </w:rPr>
        <w:t xml:space="preserve">The committee thanks the </w:t>
      </w:r>
      <w:r>
        <w:rPr>
          <w:b/>
        </w:rPr>
        <w:t>Attorney-General</w:t>
      </w:r>
      <w:r w:rsidRPr="001065DB">
        <w:rPr>
          <w:b/>
        </w:rPr>
        <w:t xml:space="preserve"> for his response and has concluded its interest in this matter.</w:t>
      </w:r>
    </w:p>
    <w:p w:rsidR="00E51F1F" w:rsidRDefault="00E51F1F" w:rsidP="00E51F1F">
      <w:pPr>
        <w:pStyle w:val="Level1"/>
        <w:numPr>
          <w:ilvl w:val="0"/>
          <w:numId w:val="0"/>
        </w:numPr>
      </w:pPr>
    </w:p>
    <w:p w:rsidR="00E51F1F" w:rsidRDefault="00E51F1F" w:rsidP="00E51F1F">
      <w:pPr>
        <w:pStyle w:val="Heading3"/>
        <w:spacing w:after="0"/>
      </w:pPr>
      <w:r w:rsidRPr="005A6C07">
        <w:t>CASA 170/14 - Direction — number of cabin at</w:t>
      </w:r>
      <w:r>
        <w:t>tendants (National Jet Systems) [</w:t>
      </w:r>
      <w:r w:rsidRPr="005A6C07">
        <w:t>F2014L01044</w:t>
      </w:r>
      <w:r>
        <w:t>]</w:t>
      </w:r>
    </w:p>
    <w:p w:rsidR="00E51F1F" w:rsidRDefault="00E51F1F" w:rsidP="00E51F1F"/>
    <w:tbl>
      <w:tblPr>
        <w:tblW w:w="0" w:type="auto"/>
        <w:tblInd w:w="108" w:type="dxa"/>
        <w:tblLook w:val="04A0" w:firstRow="1" w:lastRow="0" w:firstColumn="1" w:lastColumn="0" w:noHBand="0" w:noVBand="1"/>
      </w:tblPr>
      <w:tblGrid>
        <w:gridCol w:w="2694"/>
        <w:gridCol w:w="6378"/>
      </w:tblGrid>
      <w:tr w:rsidR="00E51F1F" w:rsidTr="00E76B11">
        <w:tc>
          <w:tcPr>
            <w:tcW w:w="2694" w:type="dxa"/>
            <w:tcBorders>
              <w:top w:val="single" w:sz="12" w:space="0" w:color="auto"/>
              <w:left w:val="nil"/>
              <w:bottom w:val="nil"/>
              <w:right w:val="single" w:sz="12" w:space="0" w:color="auto"/>
            </w:tcBorders>
            <w:hideMark/>
          </w:tcPr>
          <w:p w:rsidR="00E51F1F" w:rsidRDefault="00E51F1F" w:rsidP="00E76B11">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E51F1F" w:rsidRPr="00D563BD" w:rsidRDefault="00E51F1F" w:rsidP="00E76B11">
            <w:pPr>
              <w:rPr>
                <w:i/>
                <w:sz w:val="24"/>
                <w:szCs w:val="24"/>
              </w:rPr>
            </w:pPr>
            <w:r>
              <w:rPr>
                <w:sz w:val="24"/>
                <w:szCs w:val="24"/>
              </w:rPr>
              <w:t>D</w:t>
            </w:r>
            <w:r w:rsidRPr="00DC0510">
              <w:rPr>
                <w:sz w:val="24"/>
                <w:szCs w:val="24"/>
              </w:rPr>
              <w:t>irects National Jet Systems Pty Ltd to operate an Australian registered Boeing 717 series aircraft with not less than 3 cabin attendants</w:t>
            </w:r>
          </w:p>
        </w:tc>
      </w:tr>
      <w:tr w:rsidR="00E51F1F" w:rsidTr="00E76B11">
        <w:tc>
          <w:tcPr>
            <w:tcW w:w="2694" w:type="dxa"/>
            <w:tcBorders>
              <w:top w:val="nil"/>
              <w:left w:val="nil"/>
              <w:bottom w:val="nil"/>
              <w:right w:val="single" w:sz="12" w:space="0" w:color="auto"/>
            </w:tcBorders>
            <w:hideMark/>
          </w:tcPr>
          <w:p w:rsidR="00E51F1F" w:rsidRDefault="00E51F1F" w:rsidP="00E76B11">
            <w:pPr>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E51F1F" w:rsidRDefault="00E51F1F" w:rsidP="00E76B11">
            <w:pPr>
              <w:rPr>
                <w:sz w:val="24"/>
                <w:szCs w:val="24"/>
              </w:rPr>
            </w:pPr>
            <w:r>
              <w:rPr>
                <w:noProof/>
                <w:sz w:val="24"/>
                <w:szCs w:val="24"/>
              </w:rPr>
              <w:t>28 November 2014</w:t>
            </w:r>
          </w:p>
        </w:tc>
      </w:tr>
      <w:tr w:rsidR="00E51F1F" w:rsidTr="00E76B11">
        <w:tc>
          <w:tcPr>
            <w:tcW w:w="2694" w:type="dxa"/>
            <w:tcBorders>
              <w:top w:val="nil"/>
              <w:left w:val="nil"/>
              <w:bottom w:val="nil"/>
              <w:right w:val="single" w:sz="12" w:space="0" w:color="auto"/>
            </w:tcBorders>
            <w:hideMark/>
          </w:tcPr>
          <w:p w:rsidR="00E51F1F" w:rsidRDefault="00E51F1F" w:rsidP="00E76B11">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E51F1F" w:rsidRDefault="00E51F1F" w:rsidP="00E76B11">
            <w:pPr>
              <w:rPr>
                <w:i/>
                <w:sz w:val="24"/>
                <w:szCs w:val="24"/>
              </w:rPr>
            </w:pPr>
            <w:r>
              <w:rPr>
                <w:i/>
                <w:noProof/>
                <w:sz w:val="24"/>
                <w:szCs w:val="24"/>
              </w:rPr>
              <w:t>Civil Aviation Regulations 1988</w:t>
            </w:r>
          </w:p>
        </w:tc>
      </w:tr>
      <w:tr w:rsidR="00E51F1F" w:rsidTr="00E76B11">
        <w:tc>
          <w:tcPr>
            <w:tcW w:w="2694" w:type="dxa"/>
            <w:tcBorders>
              <w:top w:val="nil"/>
              <w:left w:val="nil"/>
              <w:bottom w:val="single" w:sz="12" w:space="0" w:color="auto"/>
              <w:right w:val="single" w:sz="12" w:space="0" w:color="auto"/>
            </w:tcBorders>
            <w:hideMark/>
          </w:tcPr>
          <w:p w:rsidR="00E51F1F" w:rsidRDefault="00E51F1F" w:rsidP="00E76B11">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E51F1F" w:rsidRDefault="00E51F1F" w:rsidP="00E76B11">
            <w:pPr>
              <w:rPr>
                <w:sz w:val="24"/>
                <w:szCs w:val="24"/>
              </w:rPr>
            </w:pPr>
            <w:r>
              <w:rPr>
                <w:noProof/>
                <w:sz w:val="24"/>
                <w:szCs w:val="24"/>
              </w:rPr>
              <w:t>Infrastructure and Regional Development</w:t>
            </w:r>
          </w:p>
        </w:tc>
      </w:tr>
    </w:tbl>
    <w:p w:rsidR="00E51F1F" w:rsidRDefault="00E51F1F" w:rsidP="00E51F1F">
      <w:pPr>
        <w:spacing w:after="0"/>
        <w:rPr>
          <w:b/>
          <w:szCs w:val="26"/>
        </w:rPr>
      </w:pPr>
    </w:p>
    <w:p w:rsidR="00E51F1F" w:rsidRDefault="00E51F1F" w:rsidP="00E51F1F">
      <w:pPr>
        <w:spacing w:after="0"/>
        <w:rPr>
          <w:szCs w:val="26"/>
        </w:rPr>
      </w:pPr>
      <w:r>
        <w:rPr>
          <w:b/>
          <w:szCs w:val="26"/>
        </w:rPr>
        <w:t>[</w:t>
      </w:r>
      <w:r>
        <w:rPr>
          <w:b/>
          <w:szCs w:val="26"/>
          <w:lang w:eastAsia="en-AU"/>
        </w:rPr>
        <w:t xml:space="preserve">The committee initially reported on this instrument in </w:t>
      </w:r>
      <w:r w:rsidRPr="00371B6A">
        <w:rPr>
          <w:b/>
          <w:i/>
          <w:szCs w:val="26"/>
          <w:lang w:eastAsia="en-AU"/>
        </w:rPr>
        <w:t>Delegated legislation monitor</w:t>
      </w:r>
      <w:r>
        <w:rPr>
          <w:b/>
          <w:i/>
          <w:szCs w:val="26"/>
          <w:lang w:eastAsia="en-AU"/>
        </w:rPr>
        <w:t xml:space="preserve"> </w:t>
      </w:r>
      <w:r>
        <w:rPr>
          <w:b/>
          <w:szCs w:val="26"/>
          <w:lang w:eastAsia="en-AU"/>
        </w:rPr>
        <w:t>No. 11 of 2014].</w:t>
      </w:r>
    </w:p>
    <w:p w:rsidR="00E51F1F" w:rsidRDefault="00E51F1F" w:rsidP="00E51F1F">
      <w:pPr>
        <w:rPr>
          <w:b/>
          <w:szCs w:val="26"/>
        </w:rPr>
      </w:pPr>
      <w:r>
        <w:rPr>
          <w:b/>
          <w:szCs w:val="26"/>
        </w:rPr>
        <w:lastRenderedPageBreak/>
        <w:t>Issue:</w:t>
      </w:r>
    </w:p>
    <w:p w:rsidR="00E51F1F" w:rsidRDefault="00E51F1F" w:rsidP="00E51F1F">
      <w:pPr>
        <w:rPr>
          <w:i/>
          <w:noProof/>
        </w:rPr>
      </w:pPr>
      <w:r w:rsidRPr="00DC0510">
        <w:rPr>
          <w:i/>
          <w:noProof/>
        </w:rPr>
        <w:t xml:space="preserve">Timetable </w:t>
      </w:r>
      <w:r>
        <w:rPr>
          <w:i/>
          <w:noProof/>
        </w:rPr>
        <w:t>for making of substantive amendments to Civil Aviation Orders</w:t>
      </w:r>
    </w:p>
    <w:p w:rsidR="00E51F1F" w:rsidRDefault="00E51F1F" w:rsidP="00E51F1F">
      <w:r>
        <w:t>In Monitor No. 1 of 2013 (7 February 2013), the committee raised concerns about the</w:t>
      </w:r>
      <w:r w:rsidRPr="00D06EA3">
        <w:t xml:space="preserve"> </w:t>
      </w:r>
      <w:r>
        <w:t xml:space="preserve">timetable for substantive </w:t>
      </w:r>
      <w:r w:rsidRPr="00230D33">
        <w:t xml:space="preserve">amendments to Civil Aviation Order </w:t>
      </w:r>
      <w:r>
        <w:t xml:space="preserve">(CAO) </w:t>
      </w:r>
      <w:r w:rsidRPr="00BB32E8">
        <w:t>20.16.3</w:t>
      </w:r>
      <w:r>
        <w:t xml:space="preserve"> in light of the exemption granted by </w:t>
      </w:r>
      <w:r w:rsidRPr="00D06EA3">
        <w:t>CASA 364/12 - Direction - number of cabin attendants (National Jet Systems) [F2012L02169]</w:t>
      </w:r>
      <w:r>
        <w:t xml:space="preserve">. The committee noted it </w:t>
      </w:r>
      <w:r w:rsidRPr="00230D33">
        <w:t xml:space="preserve">generally prefers </w:t>
      </w:r>
      <w:r>
        <w:t xml:space="preserve">that </w:t>
      </w:r>
      <w:r w:rsidRPr="00230D33">
        <w:t>exemptions are not used or do not operate as de facto amendments to pri</w:t>
      </w:r>
      <w:r>
        <w:t>mary l</w:t>
      </w:r>
      <w:r w:rsidRPr="00230D33">
        <w:t>egislation</w:t>
      </w:r>
      <w:r>
        <w:t xml:space="preserve">. The committee further noted it had </w:t>
      </w:r>
      <w:r w:rsidRPr="00230D33">
        <w:t xml:space="preserve">previously written to the </w:t>
      </w:r>
      <w:r>
        <w:t xml:space="preserve">then </w:t>
      </w:r>
      <w:r w:rsidRPr="00230D33">
        <w:t xml:space="preserve">minister </w:t>
      </w:r>
      <w:r>
        <w:t>about</w:t>
      </w:r>
      <w:r w:rsidRPr="00230D33">
        <w:t xml:space="preserve"> the continued need for exemptions with a similar purpose to the </w:t>
      </w:r>
      <w:r>
        <w:t>2012</w:t>
      </w:r>
      <w:r w:rsidRPr="00230D33">
        <w:t xml:space="preserve"> instrument</w:t>
      </w:r>
      <w:r>
        <w:t xml:space="preserve">. To that end, the committee sought further information on the timetable for substantive </w:t>
      </w:r>
      <w:r w:rsidRPr="00230D33">
        <w:t>amendments to C</w:t>
      </w:r>
      <w:r>
        <w:t>AO</w:t>
      </w:r>
      <w:r w:rsidRPr="00BB32E8">
        <w:t xml:space="preserve"> 20.16.3</w:t>
      </w:r>
      <w:r>
        <w:t xml:space="preserve">. The then minister advised that </w:t>
      </w:r>
      <w:r w:rsidRPr="000F5FCD">
        <w:t>progress on th</w:t>
      </w:r>
      <w:r>
        <w:t>e issue</w:t>
      </w:r>
      <w:r w:rsidRPr="000F5FCD">
        <w:t xml:space="preserve"> depende</w:t>
      </w:r>
      <w:r>
        <w:t>d</w:t>
      </w:r>
      <w:r w:rsidRPr="000F5FCD">
        <w:t xml:space="preserve"> on the progress </w:t>
      </w:r>
      <w:r>
        <w:t>in</w:t>
      </w:r>
      <w:r w:rsidRPr="000F5FCD">
        <w:t xml:space="preserve"> developing the proposed Civil Aviation Safety Regulations Part 121 'Air Transport Operations – Large Aeroplanes'</w:t>
      </w:r>
      <w:r>
        <w:t>, and that this would occur i</w:t>
      </w:r>
      <w:r w:rsidRPr="000F5FCD">
        <w:t>n 2013.</w:t>
      </w:r>
    </w:p>
    <w:p w:rsidR="00E51F1F" w:rsidRDefault="00E51F1F" w:rsidP="00E51F1F">
      <w:r w:rsidRPr="00BB32E8">
        <w:t xml:space="preserve">The </w:t>
      </w:r>
      <w:r>
        <w:t xml:space="preserve">current </w:t>
      </w:r>
      <w:r w:rsidRPr="00230D33">
        <w:t>instrument specifies the minimum number of cabin attendants required on specified aircraft op</w:t>
      </w:r>
      <w:r>
        <w:t>erated by a particular operator</w:t>
      </w:r>
      <w:r w:rsidRPr="00230D33">
        <w:t xml:space="preserve">. In doing so, the instrument grants an exemption from </w:t>
      </w:r>
      <w:r>
        <w:t xml:space="preserve">CAO </w:t>
      </w:r>
      <w:r w:rsidRPr="00230D33">
        <w:t>20.16.3</w:t>
      </w:r>
      <w:r>
        <w:t xml:space="preserve"> until 31 July 2015 (to the same operator operating the same aircraft as the 2012 instrument)</w:t>
      </w:r>
      <w:r w:rsidRPr="00230D33">
        <w:t>. The ES for th</w:t>
      </w:r>
      <w:r>
        <w:t>e current</w:t>
      </w:r>
      <w:r w:rsidRPr="00230D33">
        <w:t xml:space="preserve"> instrument</w:t>
      </w:r>
      <w:r>
        <w:t xml:space="preserve"> under the heading, 'Senate committee concerns', states:</w:t>
      </w:r>
    </w:p>
    <w:p w:rsidR="00E51F1F" w:rsidRPr="00230D33" w:rsidRDefault="00E51F1F" w:rsidP="00E51F1F">
      <w:pPr>
        <w:pStyle w:val="Quote"/>
      </w:pPr>
      <w:r w:rsidRPr="00230D33">
        <w:t>The development and preparation of suitable amendments of the Regulations to avoid the need for individual directions and set a suitable standard for cabin crew numbers is continuing.</w:t>
      </w:r>
    </w:p>
    <w:p w:rsidR="00E51F1F" w:rsidRPr="00007B25" w:rsidRDefault="00E51F1F" w:rsidP="00E51F1F">
      <w:pPr>
        <w:rPr>
          <w:b/>
        </w:rPr>
      </w:pPr>
      <w:r>
        <w:rPr>
          <w:b/>
        </w:rPr>
        <w:t>[Noting that</w:t>
      </w:r>
      <w:r w:rsidRPr="00007B25">
        <w:rPr>
          <w:b/>
        </w:rPr>
        <w:t xml:space="preserve"> CASA </w:t>
      </w:r>
      <w:r>
        <w:rPr>
          <w:b/>
        </w:rPr>
        <w:t>still rel</w:t>
      </w:r>
      <w:r w:rsidRPr="00007B25">
        <w:rPr>
          <w:b/>
        </w:rPr>
        <w:t xml:space="preserve">ies on instruments that exempt compliance with CAO 20.16.3, </w:t>
      </w:r>
      <w:r>
        <w:rPr>
          <w:b/>
        </w:rPr>
        <w:t>and that development of the amendments are continuing, the committee sought</w:t>
      </w:r>
      <w:r w:rsidRPr="00007B25">
        <w:rPr>
          <w:b/>
        </w:rPr>
        <w:t xml:space="preserve"> further information from the minister on the timetable for completing the amendments</w:t>
      </w:r>
      <w:r>
        <w:rPr>
          <w:b/>
        </w:rPr>
        <w:t>]</w:t>
      </w:r>
      <w:r w:rsidRPr="00007B25">
        <w:rPr>
          <w:b/>
        </w:rPr>
        <w:t>.</w:t>
      </w:r>
    </w:p>
    <w:p w:rsidR="00E51F1F" w:rsidRDefault="00E51F1F" w:rsidP="00E51F1F">
      <w:pPr>
        <w:rPr>
          <w:b/>
          <w:noProof/>
        </w:rPr>
      </w:pPr>
      <w:r w:rsidRPr="00BD3B22">
        <w:rPr>
          <w:b/>
          <w:noProof/>
        </w:rPr>
        <w:t>MINISTER'S RESPONSE:</w:t>
      </w:r>
    </w:p>
    <w:p w:rsidR="00E51F1F" w:rsidRDefault="00E51F1F" w:rsidP="00E51F1F">
      <w:pPr>
        <w:pStyle w:val="Level1"/>
        <w:numPr>
          <w:ilvl w:val="0"/>
          <w:numId w:val="0"/>
        </w:numPr>
      </w:pPr>
      <w:r>
        <w:t>The Minister for Infrastructure and Regional Development advised that the timeframe for amending the current regulatory framework would be guided by the government's consideration of two reports on aviation safety r</w:t>
      </w:r>
      <w:r w:rsidRPr="00A116CE">
        <w:t>egulation</w:t>
      </w:r>
      <w:r>
        <w:t xml:space="preserve"> and cabin crew ratios. The minister anticipated that any amendments would occur during 2015–16:</w:t>
      </w:r>
    </w:p>
    <w:p w:rsidR="00E51F1F" w:rsidRPr="00FE1311" w:rsidRDefault="00E51F1F" w:rsidP="00E51F1F">
      <w:pPr>
        <w:pStyle w:val="Quote"/>
      </w:pPr>
      <w:r w:rsidRPr="00FE1311">
        <w:t>On 3 June 2014 I tabled in Parliament the independent Aviation Safety Regulation</w:t>
      </w:r>
      <w:r>
        <w:t xml:space="preserve"> </w:t>
      </w:r>
      <w:r w:rsidRPr="00FE1311">
        <w:t>Review Report (the Report) which investigated the structures, effectiveness and processes</w:t>
      </w:r>
      <w:r>
        <w:t xml:space="preserve"> </w:t>
      </w:r>
      <w:r w:rsidRPr="00FE1311">
        <w:t>of all agencies involved in aviation safety in Australia, including ensuring that aviation</w:t>
      </w:r>
      <w:r>
        <w:t xml:space="preserve"> </w:t>
      </w:r>
      <w:r w:rsidRPr="00FE1311">
        <w:t>has an appropriate safety regulatory framework.</w:t>
      </w:r>
    </w:p>
    <w:p w:rsidR="00E51F1F" w:rsidRPr="00FE1311" w:rsidRDefault="00E51F1F" w:rsidP="00E51F1F">
      <w:pPr>
        <w:pStyle w:val="Quote"/>
      </w:pPr>
      <w:r w:rsidRPr="00FE1311">
        <w:t>I can confirm the Government</w:t>
      </w:r>
      <w:r>
        <w:t xml:space="preserve"> is carefully considering the 3</w:t>
      </w:r>
      <w:r w:rsidRPr="00FE1311">
        <w:t>7 recommendations and other</w:t>
      </w:r>
      <w:r>
        <w:t xml:space="preserve"> </w:t>
      </w:r>
      <w:r w:rsidRPr="00FE1311">
        <w:t>matters arising out of the Report. I expect to table the Government's response before the</w:t>
      </w:r>
      <w:r>
        <w:t xml:space="preserve"> </w:t>
      </w:r>
      <w:r w:rsidRPr="00FE1311">
        <w:t>end of the year.</w:t>
      </w:r>
    </w:p>
    <w:p w:rsidR="00E51F1F" w:rsidRPr="00FE1311" w:rsidRDefault="00E51F1F" w:rsidP="00E51F1F">
      <w:pPr>
        <w:pStyle w:val="Quote"/>
      </w:pPr>
      <w:r w:rsidRPr="00FE1311">
        <w:lastRenderedPageBreak/>
        <w:t>Therefore the timetable for making any amendments to the types of legislative instrument</w:t>
      </w:r>
      <w:r>
        <w:t xml:space="preserve"> </w:t>
      </w:r>
      <w:r w:rsidRPr="00FE1311">
        <w:t>to which the Committee refers will be driven by the Government's response to the</w:t>
      </w:r>
      <w:r>
        <w:t xml:space="preserve"> </w:t>
      </w:r>
      <w:r w:rsidRPr="00FE1311">
        <w:t>Review Report and the Government's response to the report of the House of</w:t>
      </w:r>
      <w:r>
        <w:t xml:space="preserve"> </w:t>
      </w:r>
      <w:r w:rsidRPr="00FE1311">
        <w:t>Representatives Standing Committee on Infrastructure and Communications into cabin</w:t>
      </w:r>
      <w:r>
        <w:t xml:space="preserve"> </w:t>
      </w:r>
      <w:r w:rsidRPr="00FE1311">
        <w:t>crew ratios on Australian aircraft. This latter response did not occur under the previous</w:t>
      </w:r>
      <w:r>
        <w:t xml:space="preserve"> </w:t>
      </w:r>
      <w:r w:rsidRPr="00FE1311">
        <w:t>Government and so is now a matter for consideration by this Government.</w:t>
      </w:r>
    </w:p>
    <w:p w:rsidR="00E51F1F" w:rsidRDefault="00E51F1F" w:rsidP="00E51F1F">
      <w:pPr>
        <w:pStyle w:val="Quote"/>
      </w:pPr>
      <w:r w:rsidRPr="00FE1311">
        <w:t>It is important that the individual directions currently issued to ten RPT operators to</w:t>
      </w:r>
      <w:r>
        <w:t xml:space="preserve"> </w:t>
      </w:r>
      <w:r w:rsidRPr="00FE1311">
        <w:t>allow for certain aircraft to operate with the 1 :50 cabin crew to passenger ratio be allowed</w:t>
      </w:r>
      <w:r>
        <w:t xml:space="preserve"> </w:t>
      </w:r>
      <w:r w:rsidRPr="00FE1311">
        <w:t>to continue to operate until the Government tables its responses to these Reports.</w:t>
      </w:r>
    </w:p>
    <w:p w:rsidR="00E51F1F" w:rsidRPr="00FE1311" w:rsidRDefault="00E51F1F" w:rsidP="00E51F1F">
      <w:pPr>
        <w:pStyle w:val="Quote"/>
      </w:pPr>
      <w:r w:rsidRPr="00FE1311">
        <w:t>The Civil Aviation Safety Authority (CASA) would then be able to proceed with any</w:t>
      </w:r>
      <w:r>
        <w:t xml:space="preserve"> </w:t>
      </w:r>
      <w:r w:rsidRPr="00FE1311">
        <w:t>proposed amendments to current arrangements in accordance with the Government's</w:t>
      </w:r>
      <w:r>
        <w:t xml:space="preserve"> </w:t>
      </w:r>
      <w:r w:rsidRPr="00FE1311">
        <w:t>legislation programme in 2015-16.</w:t>
      </w:r>
    </w:p>
    <w:p w:rsidR="00E51F1F" w:rsidRDefault="00E51F1F" w:rsidP="00E51F1F">
      <w:pPr>
        <w:pStyle w:val="Quote"/>
      </w:pPr>
      <w:r w:rsidRPr="00FE1311">
        <w:t>In relation to the proposed amendments, I am advised that this may involve changes to</w:t>
      </w:r>
      <w:r>
        <w:t xml:space="preserve"> </w:t>
      </w:r>
      <w:r w:rsidRPr="00FE1311">
        <w:t>Civil Aviation Order 20.16.3, and aligning this to proposed Part 91 (General operating</w:t>
      </w:r>
      <w:r>
        <w:t xml:space="preserve"> </w:t>
      </w:r>
      <w:r w:rsidRPr="00FE1311">
        <w:t>and flight rules) and Part 121 (air transport operators - large aeroplanes) of the Civil</w:t>
      </w:r>
      <w:r>
        <w:t xml:space="preserve"> </w:t>
      </w:r>
      <w:r w:rsidRPr="00FE1311">
        <w:t>Aviation Safety Regulations 1998.</w:t>
      </w:r>
    </w:p>
    <w:p w:rsidR="00E51F1F" w:rsidRPr="0076670E" w:rsidRDefault="00E51F1F" w:rsidP="00E51F1F">
      <w:pPr>
        <w:pStyle w:val="Level1"/>
        <w:numPr>
          <w:ilvl w:val="0"/>
          <w:numId w:val="0"/>
        </w:numPr>
        <w:rPr>
          <w:b/>
        </w:rPr>
      </w:pPr>
      <w:r w:rsidRPr="0076670E">
        <w:rPr>
          <w:b/>
        </w:rPr>
        <w:t>COMMITTEE RESPONSE:</w:t>
      </w:r>
    </w:p>
    <w:p w:rsidR="00E51F1F" w:rsidRDefault="00E51F1F" w:rsidP="00E51F1F">
      <w:pPr>
        <w:pStyle w:val="Level1"/>
        <w:numPr>
          <w:ilvl w:val="0"/>
          <w:numId w:val="0"/>
        </w:numPr>
      </w:pPr>
      <w:r w:rsidRPr="001065DB">
        <w:rPr>
          <w:b/>
        </w:rPr>
        <w:t xml:space="preserve">The committee thanks the </w:t>
      </w:r>
      <w:r>
        <w:rPr>
          <w:b/>
        </w:rPr>
        <w:t>minister</w:t>
      </w:r>
      <w:r w:rsidRPr="001065DB">
        <w:rPr>
          <w:b/>
        </w:rPr>
        <w:t xml:space="preserve"> for his response and has concluded its interest in this matter.</w:t>
      </w:r>
    </w:p>
    <w:p w:rsidR="00E51F1F" w:rsidRDefault="00E51F1F" w:rsidP="00E51F1F"/>
    <w:p w:rsidR="00E51F1F" w:rsidRDefault="00E51F1F" w:rsidP="00E51F1F">
      <w:pPr>
        <w:pStyle w:val="Heading3"/>
        <w:spacing w:after="0"/>
      </w:pPr>
      <w:r w:rsidRPr="00593171">
        <w:t>F</w:t>
      </w:r>
      <w:r>
        <w:t>arm Household Support Secretary's Rule 2014 [</w:t>
      </w:r>
      <w:r w:rsidRPr="00593171">
        <w:t>F2014L00614</w:t>
      </w:r>
      <w:r>
        <w:t>]</w:t>
      </w:r>
    </w:p>
    <w:p w:rsidR="00E51F1F" w:rsidRPr="001E0577" w:rsidRDefault="00E51F1F" w:rsidP="00E51F1F"/>
    <w:tbl>
      <w:tblPr>
        <w:tblW w:w="0" w:type="auto"/>
        <w:tblInd w:w="108" w:type="dxa"/>
        <w:tblLook w:val="04A0" w:firstRow="1" w:lastRow="0" w:firstColumn="1" w:lastColumn="0" w:noHBand="0" w:noVBand="1"/>
      </w:tblPr>
      <w:tblGrid>
        <w:gridCol w:w="2694"/>
        <w:gridCol w:w="6378"/>
      </w:tblGrid>
      <w:tr w:rsidR="00E51F1F" w:rsidRPr="00164622" w:rsidTr="00E76B11">
        <w:tc>
          <w:tcPr>
            <w:tcW w:w="2694" w:type="dxa"/>
            <w:tcBorders>
              <w:top w:val="single" w:sz="12" w:space="0" w:color="auto"/>
              <w:right w:val="single" w:sz="12" w:space="0" w:color="auto"/>
            </w:tcBorders>
          </w:tcPr>
          <w:p w:rsidR="00E51F1F" w:rsidRPr="00A77228" w:rsidRDefault="00E51F1F" w:rsidP="00E76B11">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E51F1F" w:rsidRPr="00593171" w:rsidRDefault="00E51F1F" w:rsidP="00E76B11">
            <w:pPr>
              <w:rPr>
                <w:sz w:val="24"/>
                <w:szCs w:val="24"/>
              </w:rPr>
            </w:pPr>
            <w:r w:rsidRPr="00593171">
              <w:rPr>
                <w:noProof/>
                <w:sz w:val="24"/>
                <w:szCs w:val="24"/>
              </w:rPr>
              <w:t>Prescribe</w:t>
            </w:r>
            <w:r>
              <w:rPr>
                <w:noProof/>
                <w:sz w:val="24"/>
                <w:szCs w:val="24"/>
              </w:rPr>
              <w:t>s matters the s</w:t>
            </w:r>
            <w:r w:rsidRPr="00593171">
              <w:rPr>
                <w:noProof/>
                <w:sz w:val="24"/>
                <w:szCs w:val="24"/>
              </w:rPr>
              <w:t xml:space="preserve">ecretary must take into account in deciding whether a farm enterprise has a significant commercial purpose of character and a person has a reasonable excuse for committing a qualification failure or conduct failure, and kinds of requirements that must not be included in a financial improvement agreement, and classes of activities that may be specified in a financial improvement agreement for which an </w:t>
            </w:r>
            <w:r>
              <w:rPr>
                <w:noProof/>
                <w:sz w:val="24"/>
                <w:szCs w:val="24"/>
              </w:rPr>
              <w:t>activity supplement is payable</w:t>
            </w:r>
          </w:p>
        </w:tc>
      </w:tr>
      <w:tr w:rsidR="00E51F1F" w:rsidRPr="00164622" w:rsidTr="00E76B11">
        <w:tc>
          <w:tcPr>
            <w:tcW w:w="2694" w:type="dxa"/>
            <w:tcBorders>
              <w:right w:val="single" w:sz="12" w:space="0" w:color="auto"/>
            </w:tcBorders>
          </w:tcPr>
          <w:p w:rsidR="00E51F1F" w:rsidRPr="00A77228" w:rsidRDefault="00E51F1F" w:rsidP="00E76B11">
            <w:pPr>
              <w:rPr>
                <w:b/>
                <w:sz w:val="24"/>
                <w:szCs w:val="24"/>
              </w:rPr>
            </w:pPr>
            <w:r w:rsidRPr="00A77228">
              <w:rPr>
                <w:b/>
                <w:sz w:val="24"/>
                <w:szCs w:val="24"/>
              </w:rPr>
              <w:t>Last day to disallow</w:t>
            </w:r>
          </w:p>
        </w:tc>
        <w:tc>
          <w:tcPr>
            <w:tcW w:w="6378" w:type="dxa"/>
            <w:tcBorders>
              <w:left w:val="single" w:sz="12" w:space="0" w:color="auto"/>
            </w:tcBorders>
          </w:tcPr>
          <w:p w:rsidR="00E51F1F" w:rsidRPr="00A77228" w:rsidRDefault="00E51F1F" w:rsidP="00E76B11">
            <w:pPr>
              <w:rPr>
                <w:sz w:val="24"/>
                <w:szCs w:val="24"/>
              </w:rPr>
            </w:pPr>
            <w:r>
              <w:rPr>
                <w:noProof/>
                <w:sz w:val="24"/>
                <w:szCs w:val="24"/>
              </w:rPr>
              <w:t>17</w:t>
            </w:r>
            <w:r w:rsidRPr="00B664F9">
              <w:rPr>
                <w:noProof/>
                <w:sz w:val="24"/>
                <w:szCs w:val="24"/>
              </w:rPr>
              <w:t xml:space="preserve"> July</w:t>
            </w:r>
            <w:r>
              <w:rPr>
                <w:noProof/>
                <w:sz w:val="24"/>
                <w:szCs w:val="24"/>
              </w:rPr>
              <w:t xml:space="preserve"> 2014</w:t>
            </w:r>
          </w:p>
        </w:tc>
      </w:tr>
      <w:tr w:rsidR="00E51F1F" w:rsidRPr="00164622" w:rsidTr="00E76B11">
        <w:tc>
          <w:tcPr>
            <w:tcW w:w="2694" w:type="dxa"/>
            <w:tcBorders>
              <w:right w:val="single" w:sz="12" w:space="0" w:color="auto"/>
            </w:tcBorders>
          </w:tcPr>
          <w:p w:rsidR="00E51F1F" w:rsidRPr="00A77228" w:rsidRDefault="00E51F1F" w:rsidP="00E76B11">
            <w:pPr>
              <w:rPr>
                <w:b/>
                <w:sz w:val="24"/>
                <w:szCs w:val="24"/>
              </w:rPr>
            </w:pPr>
            <w:r w:rsidRPr="00A77228">
              <w:rPr>
                <w:b/>
                <w:sz w:val="24"/>
                <w:szCs w:val="24"/>
              </w:rPr>
              <w:t>Authorising legislation</w:t>
            </w:r>
          </w:p>
        </w:tc>
        <w:tc>
          <w:tcPr>
            <w:tcW w:w="6378" w:type="dxa"/>
            <w:tcBorders>
              <w:left w:val="single" w:sz="12" w:space="0" w:color="auto"/>
            </w:tcBorders>
          </w:tcPr>
          <w:p w:rsidR="00E51F1F" w:rsidRPr="00FD72D2" w:rsidRDefault="00E51F1F" w:rsidP="00E76B11">
            <w:pPr>
              <w:rPr>
                <w:i/>
                <w:sz w:val="24"/>
                <w:szCs w:val="24"/>
              </w:rPr>
            </w:pPr>
            <w:r>
              <w:rPr>
                <w:i/>
                <w:noProof/>
                <w:sz w:val="24"/>
                <w:szCs w:val="24"/>
              </w:rPr>
              <w:t>Farm Household Support Act 2014</w:t>
            </w:r>
          </w:p>
        </w:tc>
      </w:tr>
      <w:tr w:rsidR="00E51F1F" w:rsidRPr="00164622" w:rsidTr="00E76B11">
        <w:tc>
          <w:tcPr>
            <w:tcW w:w="2694" w:type="dxa"/>
            <w:tcBorders>
              <w:bottom w:val="single" w:sz="12" w:space="0" w:color="auto"/>
              <w:right w:val="single" w:sz="12" w:space="0" w:color="auto"/>
            </w:tcBorders>
          </w:tcPr>
          <w:p w:rsidR="00E51F1F" w:rsidRPr="00A77228" w:rsidRDefault="00E51F1F" w:rsidP="00E76B11">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E51F1F" w:rsidRPr="00A77228" w:rsidRDefault="00E51F1F" w:rsidP="00E76B11">
            <w:pPr>
              <w:rPr>
                <w:sz w:val="24"/>
                <w:szCs w:val="24"/>
              </w:rPr>
            </w:pPr>
            <w:r>
              <w:rPr>
                <w:sz w:val="24"/>
                <w:szCs w:val="24"/>
              </w:rPr>
              <w:t>Agriculture</w:t>
            </w:r>
          </w:p>
        </w:tc>
      </w:tr>
    </w:tbl>
    <w:p w:rsidR="00E51F1F" w:rsidRDefault="00E51F1F" w:rsidP="00E51F1F">
      <w:pPr>
        <w:spacing w:after="0"/>
        <w:rPr>
          <w:szCs w:val="26"/>
        </w:rPr>
      </w:pPr>
    </w:p>
    <w:p w:rsidR="00E51F1F" w:rsidRPr="00EE11A8" w:rsidRDefault="00E51F1F" w:rsidP="00E51F1F">
      <w:pPr>
        <w:rPr>
          <w:b/>
        </w:rPr>
      </w:pPr>
      <w:r>
        <w:rPr>
          <w:b/>
          <w:szCs w:val="26"/>
        </w:rPr>
        <w:t xml:space="preserve">[The committee first reported on this instrument in </w:t>
      </w:r>
      <w:r>
        <w:rPr>
          <w:b/>
          <w:i/>
          <w:szCs w:val="26"/>
        </w:rPr>
        <w:t>Delegated legislation monitor</w:t>
      </w:r>
      <w:r>
        <w:rPr>
          <w:b/>
          <w:szCs w:val="26"/>
        </w:rPr>
        <w:t xml:space="preserve"> No. 8 of 2014, and subsequently in </w:t>
      </w:r>
      <w:r>
        <w:rPr>
          <w:b/>
          <w:i/>
          <w:szCs w:val="26"/>
        </w:rPr>
        <w:t>Delegated legislation monitor</w:t>
      </w:r>
      <w:r>
        <w:rPr>
          <w:b/>
          <w:szCs w:val="26"/>
        </w:rPr>
        <w:t xml:space="preserve"> Nos 10 and 12 of 2014].</w:t>
      </w:r>
    </w:p>
    <w:p w:rsidR="00E51F1F" w:rsidRPr="00164622" w:rsidRDefault="00E51F1F" w:rsidP="00E51F1F">
      <w:pPr>
        <w:rPr>
          <w:b/>
          <w:szCs w:val="26"/>
        </w:rPr>
      </w:pPr>
      <w:r w:rsidRPr="00164622">
        <w:rPr>
          <w:b/>
          <w:szCs w:val="26"/>
        </w:rPr>
        <w:lastRenderedPageBreak/>
        <w:t>Issue:</w:t>
      </w:r>
    </w:p>
    <w:p w:rsidR="00E51F1F" w:rsidRDefault="00E51F1F" w:rsidP="00E51F1F">
      <w:pPr>
        <w:pStyle w:val="Heading5"/>
        <w:numPr>
          <w:ilvl w:val="4"/>
          <w:numId w:val="21"/>
        </w:numPr>
        <w:spacing w:before="120" w:after="120"/>
      </w:pPr>
      <w:r>
        <w:t>Prescribing of matters by 'legislative rules'</w:t>
      </w:r>
    </w:p>
    <w:p w:rsidR="00E51F1F" w:rsidRDefault="00E51F1F" w:rsidP="00E51F1F">
      <w:r>
        <w:t xml:space="preserve">This instrument is made by the Secretary of the Department of Agriculture (the secretary). Amongst other things, it </w:t>
      </w:r>
      <w:r w:rsidRPr="00DD143E">
        <w:t>prescribe</w:t>
      </w:r>
      <w:r>
        <w:t>s matters the s</w:t>
      </w:r>
      <w:r w:rsidRPr="00DD143E">
        <w:t>ecretary must take into account in deciding whether a farm enterprise has a significant commercial purpose of character and a person has a reasonable excuse for committing a qualifica</w:t>
      </w:r>
      <w:r>
        <w:t>tion failure or conduct failure</w:t>
      </w:r>
      <w:r w:rsidRPr="00DD143E">
        <w:t>.</w:t>
      </w:r>
    </w:p>
    <w:p w:rsidR="00E51F1F" w:rsidRDefault="00E51F1F" w:rsidP="00E51F1F">
      <w:r w:rsidRPr="00651B7E">
        <w:t xml:space="preserve">In </w:t>
      </w:r>
      <w:r w:rsidRPr="00651B7E">
        <w:rPr>
          <w:i/>
        </w:rPr>
        <w:t>Delegated Legislation Monitor</w:t>
      </w:r>
      <w:r w:rsidRPr="00651B7E">
        <w:t xml:space="preserve"> (Monitor) Nos 2</w:t>
      </w:r>
      <w:r>
        <w:t>,</w:t>
      </w:r>
      <w:r w:rsidRPr="00651B7E">
        <w:t xml:space="preserve"> 5</w:t>
      </w:r>
      <w:r>
        <w:t xml:space="preserve">, 6 and 9 </w:t>
      </w:r>
      <w:r w:rsidRPr="00651B7E">
        <w:t>of 2014, the committee noted a novel approach (since 2013) in the drafting of Acts to provide for a broadly-expressed power to make legislative rules, and raised a number of significant concerns going to the implementation and implications of the displacing of the regulation-making power by such rules (see comments on Australian Jobs (Australian Industry Participation) Rule 2014 [F2014L00125]).</w:t>
      </w:r>
      <w:r>
        <w:rPr>
          <w:rStyle w:val="FootnoteReference"/>
        </w:rPr>
        <w:footnoteReference w:id="6"/>
      </w:r>
    </w:p>
    <w:p w:rsidR="00E51F1F" w:rsidRDefault="00E51F1F" w:rsidP="00E51F1F">
      <w:r>
        <w:t xml:space="preserve">Section 106 of the </w:t>
      </w:r>
      <w:r>
        <w:rPr>
          <w:i/>
        </w:rPr>
        <w:t>Farm Household Support Act</w:t>
      </w:r>
      <w:r w:rsidRPr="00651B7E">
        <w:rPr>
          <w:i/>
        </w:rPr>
        <w:t xml:space="preserve"> 2014</w:t>
      </w:r>
      <w:r>
        <w:t xml:space="preserve"> provides two general rule-making powers:</w:t>
      </w:r>
    </w:p>
    <w:p w:rsidR="00E51F1F" w:rsidRPr="00BD5F23" w:rsidRDefault="00E51F1F" w:rsidP="00E51F1F">
      <w:pPr>
        <w:pStyle w:val="Quote"/>
        <w:rPr>
          <w:i/>
        </w:rPr>
      </w:pPr>
      <w:r w:rsidRPr="00BD5F23">
        <w:rPr>
          <w:i/>
        </w:rPr>
        <w:t>Minister's rules</w:t>
      </w:r>
    </w:p>
    <w:p w:rsidR="00E51F1F" w:rsidRPr="00BD5F23" w:rsidRDefault="00E51F1F" w:rsidP="00E51F1F">
      <w:pPr>
        <w:pStyle w:val="Quote"/>
        <w:numPr>
          <w:ilvl w:val="0"/>
          <w:numId w:val="36"/>
        </w:numPr>
      </w:pPr>
      <w:r w:rsidRPr="00BD5F23">
        <w:t>The Minister may, by legislative instrument, make Minister</w:t>
      </w:r>
      <w:r>
        <w:t>'</w:t>
      </w:r>
      <w:r w:rsidRPr="00BD5F23">
        <w:t>s rules</w:t>
      </w:r>
      <w:r>
        <w:t xml:space="preserve"> </w:t>
      </w:r>
      <w:r w:rsidRPr="00BD5F23">
        <w:t>prescribing matters required or permitted by this Act to be</w:t>
      </w:r>
      <w:r>
        <w:t xml:space="preserve"> </w:t>
      </w:r>
      <w:r w:rsidRPr="00BD5F23">
        <w:t>prescribed by the Minister’s rules.</w:t>
      </w:r>
    </w:p>
    <w:p w:rsidR="00E51F1F" w:rsidRPr="00BD5F23" w:rsidRDefault="00E51F1F" w:rsidP="00E51F1F">
      <w:pPr>
        <w:pStyle w:val="Quote"/>
        <w:rPr>
          <w:i/>
        </w:rPr>
      </w:pPr>
      <w:r w:rsidRPr="00BD5F23">
        <w:rPr>
          <w:i/>
        </w:rPr>
        <w:t>Secretary's rules</w:t>
      </w:r>
    </w:p>
    <w:p w:rsidR="00E51F1F" w:rsidRPr="00BD5F23" w:rsidRDefault="00E51F1F" w:rsidP="00E51F1F">
      <w:pPr>
        <w:pStyle w:val="Quote"/>
        <w:ind w:left="1276" w:hanging="425"/>
      </w:pPr>
      <w:r>
        <w:t>(2)</w:t>
      </w:r>
      <w:r>
        <w:tab/>
      </w:r>
      <w:r w:rsidRPr="00BD5F23">
        <w:t>The Secretary may, by legislative instrument, make Secretary</w:t>
      </w:r>
      <w:r>
        <w:t>'</w:t>
      </w:r>
      <w:r w:rsidRPr="00BD5F23">
        <w:t>s</w:t>
      </w:r>
      <w:r>
        <w:t xml:space="preserve"> </w:t>
      </w:r>
      <w:r w:rsidRPr="00BD5F23">
        <w:t>rules prescribing matters:</w:t>
      </w:r>
    </w:p>
    <w:p w:rsidR="00E51F1F" w:rsidRDefault="00E51F1F" w:rsidP="00E51F1F">
      <w:pPr>
        <w:pStyle w:val="Quote"/>
        <w:spacing w:after="60"/>
        <w:ind w:left="1701" w:hanging="425"/>
      </w:pPr>
      <w:r>
        <w:t>(a)</w:t>
      </w:r>
      <w:r>
        <w:tab/>
      </w:r>
      <w:r w:rsidRPr="00BD5F23">
        <w:t>required or permitted by this Act to be prescribed by the</w:t>
      </w:r>
      <w:r>
        <w:t xml:space="preserve"> Secretary's rules; </w:t>
      </w:r>
      <w:r w:rsidRPr="00BD5F23">
        <w:t>or</w:t>
      </w:r>
    </w:p>
    <w:p w:rsidR="00E51F1F" w:rsidRPr="00BD5F23" w:rsidRDefault="00E51F1F" w:rsidP="00E51F1F">
      <w:pPr>
        <w:pStyle w:val="Quote"/>
        <w:ind w:left="1701" w:hanging="425"/>
      </w:pPr>
      <w:r>
        <w:t>(b)</w:t>
      </w:r>
      <w:r>
        <w:tab/>
      </w:r>
      <w:r w:rsidRPr="00BD5F23">
        <w:t>necessary or convenient to be prescribed for carrying out or</w:t>
      </w:r>
      <w:r>
        <w:t xml:space="preserve"> </w:t>
      </w:r>
      <w:r w:rsidRPr="00BD5F23">
        <w:t>giving effect to this Act.</w:t>
      </w:r>
    </w:p>
    <w:p w:rsidR="00E51F1F" w:rsidRDefault="00E51F1F" w:rsidP="00E51F1F">
      <w:r>
        <w:t>The committee notes that the Office of Parliamentary Counsel Drafting Direction No. 3.8 advises on the process for incorporating two general rule-making powers in an Act as follows:</w:t>
      </w:r>
    </w:p>
    <w:p w:rsidR="00E51F1F" w:rsidRPr="00B962C9" w:rsidRDefault="00E51F1F" w:rsidP="00E51F1F">
      <w:pPr>
        <w:pStyle w:val="Quote"/>
      </w:pPr>
      <w:r w:rsidRPr="00B962C9">
        <w:t xml:space="preserve">As a general rule, where there are 2 instrument-making powers, only one of those powers should contain a power to prescribe necessary or convenient </w:t>
      </w:r>
      <w:r w:rsidRPr="00B962C9">
        <w:lastRenderedPageBreak/>
        <w:t>matters. Consequently, 2 rule-making powers would take the following form:</w:t>
      </w:r>
    </w:p>
    <w:p w:rsidR="00E51F1F" w:rsidRPr="00B962C9" w:rsidRDefault="00E51F1F" w:rsidP="00E51F1F">
      <w:pPr>
        <w:pStyle w:val="Quote"/>
        <w:numPr>
          <w:ilvl w:val="0"/>
          <w:numId w:val="37"/>
        </w:numPr>
        <w:ind w:left="1276" w:hanging="425"/>
      </w:pPr>
      <w:r w:rsidRPr="00B962C9">
        <w:t>The [</w:t>
      </w:r>
      <w:r w:rsidRPr="00B962C9">
        <w:rPr>
          <w:i/>
        </w:rPr>
        <w:t>maker e.g. Minister</w:t>
      </w:r>
      <w:r w:rsidRPr="00B962C9">
        <w:t>] may, by legislative instrument, make [</w:t>
      </w:r>
      <w:r w:rsidRPr="00B962C9">
        <w:rPr>
          <w:i/>
        </w:rPr>
        <w:t>name of legislative instrument</w:t>
      </w:r>
      <w:r w:rsidRPr="00B962C9">
        <w:t>] prescribing matters:</w:t>
      </w:r>
    </w:p>
    <w:p w:rsidR="00E51F1F" w:rsidRDefault="00E51F1F" w:rsidP="00E51F1F">
      <w:pPr>
        <w:pStyle w:val="Quote"/>
        <w:numPr>
          <w:ilvl w:val="0"/>
          <w:numId w:val="38"/>
        </w:numPr>
        <w:ind w:left="1701" w:hanging="425"/>
      </w:pPr>
      <w:r w:rsidRPr="00B962C9">
        <w:t>required or permitted by this [</w:t>
      </w:r>
      <w:r w:rsidRPr="00B962C9">
        <w:rPr>
          <w:i/>
        </w:rPr>
        <w:t>Act/Ordinance</w:t>
      </w:r>
      <w:r w:rsidRPr="00B962C9">
        <w:t>] to be prescribed by the [</w:t>
      </w:r>
      <w:r w:rsidRPr="00B962C9">
        <w:rPr>
          <w:i/>
        </w:rPr>
        <w:t>name of legislative instrument</w:t>
      </w:r>
      <w:r w:rsidRPr="00B962C9">
        <w:t>]; or</w:t>
      </w:r>
    </w:p>
    <w:p w:rsidR="00E51F1F" w:rsidRPr="00B962C9" w:rsidRDefault="00E51F1F" w:rsidP="00E51F1F">
      <w:pPr>
        <w:pStyle w:val="Quote"/>
        <w:numPr>
          <w:ilvl w:val="0"/>
          <w:numId w:val="38"/>
        </w:numPr>
        <w:ind w:left="1701" w:hanging="425"/>
      </w:pPr>
      <w:r w:rsidRPr="00B962C9">
        <w:t>necessary or convenient to be prescribed for carrying out or giving effect to this [</w:t>
      </w:r>
      <w:r w:rsidRPr="00B962C9">
        <w:rPr>
          <w:i/>
        </w:rPr>
        <w:t>Act/Ordinance</w:t>
      </w:r>
      <w:r w:rsidRPr="00B962C9">
        <w:t>].</w:t>
      </w:r>
    </w:p>
    <w:p w:rsidR="00E51F1F" w:rsidRPr="00B962C9" w:rsidRDefault="00E51F1F" w:rsidP="00E51F1F">
      <w:pPr>
        <w:pStyle w:val="Quote"/>
        <w:numPr>
          <w:ilvl w:val="0"/>
          <w:numId w:val="37"/>
        </w:numPr>
        <w:ind w:left="1276" w:hanging="425"/>
      </w:pPr>
      <w:r w:rsidRPr="00B962C9">
        <w:t>The [</w:t>
      </w:r>
      <w:r w:rsidRPr="00B962C9">
        <w:rPr>
          <w:i/>
        </w:rPr>
        <w:t>maker e.g. Secretary</w:t>
      </w:r>
      <w:r w:rsidRPr="00B962C9">
        <w:t>] may, by legislative instrument, make [</w:t>
      </w:r>
      <w:r w:rsidRPr="00D160DC">
        <w:rPr>
          <w:i/>
        </w:rPr>
        <w:t>name of legislative instrument</w:t>
      </w:r>
      <w:r w:rsidRPr="00B962C9">
        <w:t>] prescribing matters required or permitted by this Act to be prescribed by the [</w:t>
      </w:r>
      <w:r w:rsidRPr="00B962C9">
        <w:rPr>
          <w:i/>
        </w:rPr>
        <w:t>name of legislative instrument</w:t>
      </w:r>
      <w:r w:rsidRPr="00B962C9">
        <w:t>].</w:t>
      </w:r>
    </w:p>
    <w:p w:rsidR="00E51F1F" w:rsidRPr="00B962C9" w:rsidRDefault="00E51F1F" w:rsidP="00E51F1F">
      <w:pPr>
        <w:pStyle w:val="Quote"/>
      </w:pPr>
      <w:r w:rsidRPr="00B962C9">
        <w:t>The necessary or convenient power should generally be attached to the maker who is likely to make more instruments.</w:t>
      </w:r>
    </w:p>
    <w:p w:rsidR="00E51F1F" w:rsidRDefault="00E51F1F" w:rsidP="00E51F1F">
      <w:r>
        <w:t xml:space="preserve">Under section 106 of the </w:t>
      </w:r>
      <w:r>
        <w:rPr>
          <w:i/>
        </w:rPr>
        <w:t>Farm Household Support Act</w:t>
      </w:r>
      <w:r w:rsidRPr="00651B7E">
        <w:rPr>
          <w:i/>
        </w:rPr>
        <w:t xml:space="preserve"> 2014</w:t>
      </w:r>
      <w:r>
        <w:t>, both the minister and the secretary have been given the 'required or permitted' power, with the secretary also having the additional 'necessary or convenient' power. In relation to this division of powers, t</w:t>
      </w:r>
      <w:r w:rsidRPr="00BD5F23">
        <w:t xml:space="preserve">he committee notes that the explanatory memorandum </w:t>
      </w:r>
      <w:r>
        <w:t xml:space="preserve">(EM) for </w:t>
      </w:r>
      <w:r w:rsidRPr="00BD5F23">
        <w:t xml:space="preserve">the Farm Household Support </w:t>
      </w:r>
      <w:r>
        <w:t>Bill</w:t>
      </w:r>
      <w:r w:rsidRPr="00BD5F23">
        <w:t xml:space="preserve"> 2014 </w:t>
      </w:r>
      <w:r>
        <w:t>states only:</w:t>
      </w:r>
    </w:p>
    <w:p w:rsidR="00E51F1F" w:rsidRDefault="00E51F1F" w:rsidP="00E51F1F">
      <w:pPr>
        <w:pStyle w:val="Quote"/>
      </w:pPr>
      <w:r w:rsidRPr="00BD5F23">
        <w:t>This section provides that both the Minister and the Secretary may prescribe rules by legislative instrument. The rules-making power under section 106 allows the Agriculture Minister or Secretary of the Department of Agriculture to make rules in relation to the Farm Household Support Act 2014.</w:t>
      </w:r>
    </w:p>
    <w:p w:rsidR="00E51F1F" w:rsidRPr="007D728D" w:rsidRDefault="00E51F1F" w:rsidP="00E51F1F">
      <w:r w:rsidRPr="007D728D">
        <w:t>The committee notes that this issue also arises in relation to Farm Household Support Minister's Rule 2014 [F2014L00687].</w:t>
      </w:r>
    </w:p>
    <w:p w:rsidR="00E51F1F" w:rsidRDefault="00E51F1F" w:rsidP="00E51F1F">
      <w:pPr>
        <w:rPr>
          <w:b/>
        </w:rPr>
      </w:pPr>
      <w:r>
        <w:rPr>
          <w:b/>
        </w:rPr>
        <w:t>[</w:t>
      </w:r>
      <w:r w:rsidRPr="00857842">
        <w:rPr>
          <w:b/>
        </w:rPr>
        <w:t>The committee therefore request</w:t>
      </w:r>
      <w:r>
        <w:rPr>
          <w:b/>
        </w:rPr>
        <w:t>ed</w:t>
      </w:r>
      <w:r w:rsidRPr="00857842">
        <w:rPr>
          <w:b/>
        </w:rPr>
        <w:t xml:space="preserve"> the minister's advice on the appropriateness </w:t>
      </w:r>
      <w:r>
        <w:rPr>
          <w:b/>
        </w:rPr>
        <w:t xml:space="preserve">in this case </w:t>
      </w:r>
      <w:r w:rsidRPr="00857842">
        <w:rPr>
          <w:b/>
        </w:rPr>
        <w:t xml:space="preserve">of providing the </w:t>
      </w:r>
      <w:r>
        <w:rPr>
          <w:b/>
        </w:rPr>
        <w:t>s</w:t>
      </w:r>
      <w:r w:rsidRPr="00857842">
        <w:rPr>
          <w:b/>
        </w:rPr>
        <w:t xml:space="preserve">ecretary with broader </w:t>
      </w:r>
      <w:r>
        <w:rPr>
          <w:b/>
        </w:rPr>
        <w:t>rule-making powers than the m</w:t>
      </w:r>
      <w:r w:rsidRPr="00857842">
        <w:rPr>
          <w:b/>
        </w:rPr>
        <w:t xml:space="preserve">inister, and the criteria </w:t>
      </w:r>
      <w:r>
        <w:rPr>
          <w:b/>
        </w:rPr>
        <w:t>used in maki</w:t>
      </w:r>
      <w:r w:rsidRPr="00857842">
        <w:rPr>
          <w:b/>
        </w:rPr>
        <w:t>ng this decision.</w:t>
      </w:r>
    </w:p>
    <w:p w:rsidR="00E51F1F" w:rsidRDefault="00E51F1F" w:rsidP="00E51F1F">
      <w:pPr>
        <w:rPr>
          <w:b/>
        </w:rPr>
      </w:pPr>
      <w:r>
        <w:rPr>
          <w:b/>
        </w:rPr>
        <w:t>More generally, the committee requested the minister's advice on what policy considerations were taken into account in deciding that the general-rule making power should be granted to persons other than a minister (</w:t>
      </w:r>
      <w:r>
        <w:rPr>
          <w:b/>
          <w:i/>
        </w:rPr>
        <w:t>Delegated legislation monitor</w:t>
      </w:r>
      <w:r>
        <w:rPr>
          <w:b/>
        </w:rPr>
        <w:t xml:space="preserve"> No. 8 of 2014)].</w:t>
      </w:r>
    </w:p>
    <w:p w:rsidR="00E51F1F" w:rsidRPr="007107BE" w:rsidRDefault="00E51F1F" w:rsidP="00E51F1F">
      <w:pPr>
        <w:rPr>
          <w:b/>
        </w:rPr>
      </w:pPr>
      <w:r w:rsidRPr="007107BE">
        <w:rPr>
          <w:b/>
        </w:rPr>
        <w:t>MINISTER'S RESPONSE:</w:t>
      </w:r>
    </w:p>
    <w:p w:rsidR="00E51F1F" w:rsidRDefault="00E51F1F" w:rsidP="00E51F1F">
      <w:r>
        <w:t>The Minister for Agriculture advised:</w:t>
      </w:r>
    </w:p>
    <w:p w:rsidR="00E51F1F" w:rsidRPr="00E70222" w:rsidRDefault="00E51F1F" w:rsidP="00E51F1F">
      <w:pPr>
        <w:pStyle w:val="Quote"/>
      </w:pPr>
      <w:r w:rsidRPr="00E70222">
        <w:t>In considering my response to the issues raised by the Committee set out below, the</w:t>
      </w:r>
      <w:r>
        <w:t xml:space="preserve"> </w:t>
      </w:r>
      <w:r w:rsidRPr="00E70222">
        <w:t>follo</w:t>
      </w:r>
      <w:r>
        <w:t>w</w:t>
      </w:r>
      <w:r w:rsidRPr="00E70222">
        <w:t xml:space="preserve">ing explanation of the </w:t>
      </w:r>
      <w:r w:rsidRPr="00E70222">
        <w:rPr>
          <w:i/>
        </w:rPr>
        <w:t>Farm Household Support Act 2014</w:t>
      </w:r>
      <w:r w:rsidRPr="00E70222">
        <w:t xml:space="preserve"> (the Act) provides the</w:t>
      </w:r>
      <w:r>
        <w:t xml:space="preserve"> </w:t>
      </w:r>
      <w:r w:rsidRPr="00E70222">
        <w:t xml:space="preserve">Committee with some context. The Act is complex in </w:t>
      </w:r>
      <w:r w:rsidRPr="00E70222">
        <w:lastRenderedPageBreak/>
        <w:t>that it notionally modifies how the</w:t>
      </w:r>
      <w:r>
        <w:t xml:space="preserve"> </w:t>
      </w:r>
      <w:r w:rsidRPr="00E70222">
        <w:rPr>
          <w:i/>
        </w:rPr>
        <w:t>Social Security Act 1991</w:t>
      </w:r>
      <w:r w:rsidRPr="00E70222">
        <w:t xml:space="preserve"> and the </w:t>
      </w:r>
      <w:r w:rsidRPr="00E70222">
        <w:rPr>
          <w:i/>
        </w:rPr>
        <w:t>Social Security (Administration) Act 1999</w:t>
      </w:r>
      <w:r w:rsidRPr="00E70222">
        <w:t xml:space="preserve"> operate, so that</w:t>
      </w:r>
      <w:r>
        <w:t xml:space="preserve"> </w:t>
      </w:r>
      <w:r w:rsidRPr="00E70222">
        <w:t>those Acts can apply in relation to payments made under this Act. Section 90, Simplified</w:t>
      </w:r>
      <w:r>
        <w:t xml:space="preserve"> </w:t>
      </w:r>
      <w:r w:rsidRPr="00E70222">
        <w:t>outline of this Part, explains how this works.</w:t>
      </w:r>
    </w:p>
    <w:p w:rsidR="00E51F1F" w:rsidRPr="00E70222" w:rsidRDefault="00E51F1F" w:rsidP="00E51F1F">
      <w:pPr>
        <w:pStyle w:val="Quote"/>
        <w:ind w:left="1440"/>
      </w:pPr>
      <w:r w:rsidRPr="00E70222">
        <w:t>The Farm Household Allowance (FHA) is generally treated in the same way as</w:t>
      </w:r>
      <w:r>
        <w:t xml:space="preserve"> </w:t>
      </w:r>
      <w:r w:rsidRPr="00E70222">
        <w:t>newstart and youth allowance. This means that where there is a reference in the Social</w:t>
      </w:r>
      <w:r>
        <w:t xml:space="preserve"> </w:t>
      </w:r>
      <w:r w:rsidRPr="00E70222">
        <w:t>Security Act or the Social Security Administration Act to newstart or youth</w:t>
      </w:r>
      <w:r>
        <w:t xml:space="preserve"> </w:t>
      </w:r>
      <w:r w:rsidRPr="00E70222">
        <w:t>allowance, it is as if there were also a reference to farm household allowance. The</w:t>
      </w:r>
      <w:r>
        <w:t xml:space="preserve"> </w:t>
      </w:r>
      <w:r w:rsidRPr="00E70222">
        <w:t>farm household allowance, the activity supplement and the farm financial assessment</w:t>
      </w:r>
      <w:r>
        <w:t xml:space="preserve"> </w:t>
      </w:r>
      <w:r w:rsidRPr="00E70222">
        <w:t>supplement are all treated as if they were social security payments. As a result, the</w:t>
      </w:r>
      <w:r>
        <w:t xml:space="preserve"> </w:t>
      </w:r>
      <w:r w:rsidRPr="00E70222">
        <w:t>general rules in the Social Security Act and the Social Security Administration Act</w:t>
      </w:r>
      <w:r>
        <w:t xml:space="preserve"> </w:t>
      </w:r>
      <w:r w:rsidRPr="00E70222">
        <w:t>relating to how to make claims, how payments are made and review of decisions</w:t>
      </w:r>
      <w:r>
        <w:t xml:space="preserve"> </w:t>
      </w:r>
      <w:r w:rsidRPr="00E70222">
        <w:t>apply in relation to payments under this Act.</w:t>
      </w:r>
    </w:p>
    <w:p w:rsidR="00E51F1F" w:rsidRDefault="00E51F1F" w:rsidP="00E51F1F">
      <w:pPr>
        <w:pStyle w:val="Quote"/>
      </w:pPr>
      <w:r w:rsidRPr="00E70222">
        <w:t>While the Act is comprehensive, in forming the policy settings that support farmers in</w:t>
      </w:r>
      <w:r>
        <w:t xml:space="preserve"> </w:t>
      </w:r>
      <w:r w:rsidRPr="00E70222">
        <w:t>hardship it was clear to me that overly prescriptive legislation could prevent a farmer in need</w:t>
      </w:r>
      <w:r>
        <w:t xml:space="preserve"> </w:t>
      </w:r>
      <w:r w:rsidRPr="00E70222">
        <w:t>from accessing support as intended, as has been the case in the past. The Secretary's Rule</w:t>
      </w:r>
      <w:r>
        <w:t xml:space="preserve"> </w:t>
      </w:r>
      <w:r w:rsidRPr="00E70222">
        <w:t>relating to 'whether a farm enterprise has a significant commercial purpose or character'</w:t>
      </w:r>
      <w:r>
        <w:t xml:space="preserve"> </w:t>
      </w:r>
      <w:r w:rsidRPr="00E70222">
        <w:t>provides a good example of the flexibility I sought in implementing the payment. The</w:t>
      </w:r>
      <w:r>
        <w:t xml:space="preserve"> </w:t>
      </w:r>
      <w:r w:rsidRPr="00E70222">
        <w:t>significant commercial purpose or character test is based on a ruling of the Taxation</w:t>
      </w:r>
      <w:r>
        <w:t xml:space="preserve"> </w:t>
      </w:r>
      <w:r w:rsidRPr="00E70222">
        <w:t>Commissioner (TR97/11 Income tax: am I carrying on a business of primary production)</w:t>
      </w:r>
      <w:r>
        <w:t xml:space="preserve"> </w:t>
      </w:r>
      <w:r w:rsidRPr="00E70222">
        <w:t>which has</w:t>
      </w:r>
      <w:r>
        <w:t xml:space="preserve"> </w:t>
      </w:r>
      <w:r w:rsidRPr="00E70222">
        <w:t>changed from time to time. Equally, the Secretary's Rule on the 'kinds of</w:t>
      </w:r>
      <w:r>
        <w:t xml:space="preserve"> </w:t>
      </w:r>
      <w:r w:rsidRPr="00E70222">
        <w:t>requirements not to be included in financial improvement agreements' is modelled on</w:t>
      </w:r>
      <w:r>
        <w:t xml:space="preserve"> </w:t>
      </w:r>
      <w:r w:rsidRPr="00E70222">
        <w:t>existing social security law, but deals with the special circumstances relevant to farmers</w:t>
      </w:r>
      <w:r>
        <w:t xml:space="preserve"> </w:t>
      </w:r>
      <w:r w:rsidRPr="00E70222">
        <w:t>rather than job seekers or students. Both of these matters relate to the day-to-day operation of</w:t>
      </w:r>
      <w:r>
        <w:t xml:space="preserve"> </w:t>
      </w:r>
      <w:r w:rsidRPr="00E70222">
        <w:t>the Act.</w:t>
      </w:r>
    </w:p>
    <w:p w:rsidR="00E51F1F" w:rsidRPr="00E70222" w:rsidRDefault="00E51F1F" w:rsidP="00E51F1F">
      <w:pPr>
        <w:pStyle w:val="Quote"/>
      </w:pPr>
      <w:r w:rsidRPr="00E70222">
        <w:t>The Secretary's broad rule making power takes into account both the nature of the rules that</w:t>
      </w:r>
      <w:r>
        <w:t xml:space="preserve"> </w:t>
      </w:r>
      <w:r w:rsidRPr="00E70222">
        <w:t>would be necessary and the frequency with which rules would be made. The anticipated</w:t>
      </w:r>
      <w:r>
        <w:t xml:space="preserve"> </w:t>
      </w:r>
      <w:r w:rsidRPr="00E70222">
        <w:t>operational nature of the matters to which the rules will relate, and the likelihood that rules</w:t>
      </w:r>
      <w:r>
        <w:t xml:space="preserve"> </w:t>
      </w:r>
      <w:r w:rsidRPr="00E70222">
        <w:t>will be required to facilitate the alignment of the FHA with mainstream social security</w:t>
      </w:r>
      <w:r>
        <w:t xml:space="preserve"> </w:t>
      </w:r>
      <w:r w:rsidRPr="00E70222">
        <w:t>payments has been considered by the Senate Standing Committee for the Scrutiny of Bills,</w:t>
      </w:r>
      <w:r>
        <w:t xml:space="preserve"> </w:t>
      </w:r>
      <w:r w:rsidRPr="00E70222">
        <w:t>and agreed by the Parliament, indicating the nature of the breadth of the power is appropriate.</w:t>
      </w:r>
    </w:p>
    <w:p w:rsidR="00E51F1F" w:rsidRPr="00E70222" w:rsidRDefault="00E51F1F" w:rsidP="00E51F1F">
      <w:pPr>
        <w:pStyle w:val="Quote"/>
      </w:pPr>
      <w:r w:rsidRPr="00E70222">
        <w:t>I also note that the matters dealt with in the Secretary's Rule all relate to matters which are</w:t>
      </w:r>
      <w:r>
        <w:t xml:space="preserve"> </w:t>
      </w:r>
      <w:r w:rsidRPr="00E70222">
        <w:t>'required or permitted'. This shows the Act and rules that relate to matters which are</w:t>
      </w:r>
      <w:r>
        <w:t xml:space="preserve"> </w:t>
      </w:r>
      <w:r w:rsidRPr="00E70222">
        <w:t>'required or permitted' deal with foreseeable issues, suggesting the use of the necessary and</w:t>
      </w:r>
      <w:r>
        <w:t xml:space="preserve"> </w:t>
      </w:r>
      <w:r w:rsidRPr="00E70222">
        <w:t>convenient power will be infrequent.</w:t>
      </w:r>
    </w:p>
    <w:p w:rsidR="00E51F1F" w:rsidRPr="00E70222" w:rsidRDefault="00E51F1F" w:rsidP="00E51F1F">
      <w:pPr>
        <w:pStyle w:val="Quote"/>
      </w:pPr>
      <w:r w:rsidRPr="00E70222">
        <w:t>My response to the specific issues raised by the Committee in relation to the Secretary's Rule</w:t>
      </w:r>
      <w:r>
        <w:t xml:space="preserve"> </w:t>
      </w:r>
      <w:r w:rsidRPr="00E70222">
        <w:t>is set out below.</w:t>
      </w:r>
    </w:p>
    <w:p w:rsidR="00E51F1F" w:rsidRDefault="00E51F1F" w:rsidP="00E51F1F">
      <w:pPr>
        <w:pStyle w:val="Quote"/>
      </w:pPr>
      <w:r w:rsidRPr="00E70222">
        <w:lastRenderedPageBreak/>
        <w:t>In its correspondence to me dated 20 March 2014, the Senate Standing Committee on the</w:t>
      </w:r>
      <w:r>
        <w:t xml:space="preserve"> </w:t>
      </w:r>
      <w:r w:rsidRPr="00E70222">
        <w:t>Scrutiny of Bills also raised issue with the delegation of legislative power under section 106</w:t>
      </w:r>
      <w:r>
        <w:t xml:space="preserve"> </w:t>
      </w:r>
      <w:r w:rsidRPr="00E70222">
        <w:t>of the Act. The First Parliamentary Counsel, Mr Peter Quiggin PSM, provided me with</w:t>
      </w:r>
      <w:r>
        <w:t xml:space="preserve"> </w:t>
      </w:r>
      <w:r w:rsidRPr="00E70222">
        <w:t>advice on the general application and use of rule-making powers in response to that letter.</w:t>
      </w:r>
      <w:r>
        <w:t xml:space="preserve"> </w:t>
      </w:r>
      <w:r w:rsidRPr="00E70222">
        <w:t>This advice was provided to the Scrutiny of Bills Committee and relevantly states that</w:t>
      </w:r>
      <w:r>
        <w:t xml:space="preserve"> </w:t>
      </w:r>
      <w:r w:rsidRPr="00E70222">
        <w:t>[extract included below]:</w:t>
      </w:r>
    </w:p>
    <w:p w:rsidR="00E51F1F" w:rsidRPr="00E70222" w:rsidRDefault="00E51F1F" w:rsidP="00E51F1F">
      <w:pPr>
        <w:pStyle w:val="Quote"/>
        <w:ind w:left="1440"/>
      </w:pPr>
      <w:r w:rsidRPr="00E70222">
        <w:t>OPC's view is that some types of provisions should be included in regulations and be</w:t>
      </w:r>
      <w:r>
        <w:t xml:space="preserve"> </w:t>
      </w:r>
      <w:r w:rsidRPr="00E70222">
        <w:t>drafted by OPC as the Commonwealth's principal drafting office, unless there is a</w:t>
      </w:r>
      <w:r>
        <w:t xml:space="preserve"> </w:t>
      </w:r>
      <w:r w:rsidRPr="00E70222">
        <w:t>strong justification for prescribing these provisions in another type of legislative</w:t>
      </w:r>
      <w:r>
        <w:t xml:space="preserve"> </w:t>
      </w:r>
      <w:r w:rsidRPr="00E70222">
        <w:t>instrument. These include the following provisions:</w:t>
      </w:r>
    </w:p>
    <w:p w:rsidR="00E51F1F" w:rsidRPr="00E70222" w:rsidRDefault="00E51F1F" w:rsidP="00E51F1F">
      <w:pPr>
        <w:pStyle w:val="Quote"/>
        <w:ind w:firstLine="589"/>
      </w:pPr>
      <w:r>
        <w:t xml:space="preserve">(a) </w:t>
      </w:r>
      <w:r w:rsidRPr="00E70222">
        <w:t>offence provisions;</w:t>
      </w:r>
    </w:p>
    <w:p w:rsidR="00E51F1F" w:rsidRPr="00E70222" w:rsidRDefault="00E51F1F" w:rsidP="00E51F1F">
      <w:pPr>
        <w:pStyle w:val="Quote"/>
        <w:ind w:firstLine="589"/>
      </w:pPr>
      <w:r>
        <w:t xml:space="preserve">(b) </w:t>
      </w:r>
      <w:r w:rsidRPr="00E70222">
        <w:t>powers of arrest or detention;</w:t>
      </w:r>
    </w:p>
    <w:p w:rsidR="00E51F1F" w:rsidRPr="00E70222" w:rsidRDefault="00E51F1F" w:rsidP="00E51F1F">
      <w:pPr>
        <w:pStyle w:val="Quote"/>
        <w:ind w:firstLine="589"/>
      </w:pPr>
      <w:r>
        <w:t>(</w:t>
      </w:r>
      <w:r w:rsidRPr="00E70222">
        <w:t>c) entry provisions;</w:t>
      </w:r>
    </w:p>
    <w:p w:rsidR="00E51F1F" w:rsidRPr="00E70222" w:rsidRDefault="00E51F1F" w:rsidP="00E51F1F">
      <w:pPr>
        <w:pStyle w:val="Quote"/>
        <w:ind w:firstLine="589"/>
      </w:pPr>
      <w:r>
        <w:t>(</w:t>
      </w:r>
      <w:r w:rsidRPr="00E70222">
        <w:t>d) search provisions;</w:t>
      </w:r>
    </w:p>
    <w:p w:rsidR="00E51F1F" w:rsidRDefault="00E51F1F" w:rsidP="00E51F1F">
      <w:pPr>
        <w:pStyle w:val="Quote"/>
        <w:ind w:firstLine="589"/>
      </w:pPr>
      <w:r>
        <w:t>(</w:t>
      </w:r>
      <w:r w:rsidRPr="00E70222">
        <w:t>e) seizure provisions.</w:t>
      </w:r>
    </w:p>
    <w:p w:rsidR="00E51F1F" w:rsidRPr="00231297" w:rsidRDefault="00E51F1F" w:rsidP="00E51F1F">
      <w:pPr>
        <w:pStyle w:val="Quote"/>
      </w:pPr>
      <w:r w:rsidRPr="00E70222">
        <w:t>I note the First Parliamentary Counsel's comments on OPC's approach to the making of</w:t>
      </w:r>
      <w:r>
        <w:t xml:space="preserve"> </w:t>
      </w:r>
      <w:r w:rsidRPr="00E70222">
        <w:t xml:space="preserve">instruments rather than regulation and the consistency of this approach with the </w:t>
      </w:r>
      <w:r w:rsidRPr="00E70222">
        <w:rPr>
          <w:i/>
        </w:rPr>
        <w:t>Legislative Instruments Act 2003</w:t>
      </w:r>
      <w:r w:rsidRPr="00E70222">
        <w:t xml:space="preserve"> (the LIA) and the First Parliamentary Counsel functions and</w:t>
      </w:r>
      <w:r>
        <w:t xml:space="preserve"> </w:t>
      </w:r>
      <w:r w:rsidRPr="00231297">
        <w:t>responsibilities under the Act. I also note instrument-making powers are commonly in the</w:t>
      </w:r>
      <w:r>
        <w:t xml:space="preserve"> </w:t>
      </w:r>
      <w:r w:rsidRPr="00231297">
        <w:t>form of (or include) a power to "prescribe" particular matters. For example, the rule-making</w:t>
      </w:r>
      <w:r>
        <w:t xml:space="preserve"> </w:t>
      </w:r>
      <w:r w:rsidRPr="00231297">
        <w:t xml:space="preserve">power in subsection 59(1) of the </w:t>
      </w:r>
      <w:r w:rsidRPr="00231297">
        <w:rPr>
          <w:i/>
        </w:rPr>
        <w:t>Federal Court of</w:t>
      </w:r>
      <w:r>
        <w:rPr>
          <w:i/>
        </w:rPr>
        <w:t xml:space="preserve"> </w:t>
      </w:r>
      <w:r w:rsidRPr="00231297">
        <w:rPr>
          <w:i/>
        </w:rPr>
        <w:t>Australia Act 1976</w:t>
      </w:r>
      <w:r w:rsidRPr="00231297">
        <w:t xml:space="preserve"> (which was included</w:t>
      </w:r>
      <w:r>
        <w:t xml:space="preserve"> </w:t>
      </w:r>
      <w:r w:rsidRPr="00231297">
        <w:t>when that Act was enacted in 1976). In this respect neither the Farm Household Support</w:t>
      </w:r>
      <w:r>
        <w:t xml:space="preserve"> </w:t>
      </w:r>
      <w:r w:rsidRPr="00231297">
        <w:t>Secretary's Rule 2014 nor the Farm Household Support Minister's Rule 2014</w:t>
      </w:r>
      <w:r>
        <w:t xml:space="preserve"> </w:t>
      </w:r>
      <w:r w:rsidRPr="00231297">
        <w:t>[F2014L00687] are inconsistent with other legislative instruments. Accordingly I am satisfied</w:t>
      </w:r>
      <w:r>
        <w:t xml:space="preserve"> </w:t>
      </w:r>
      <w:r w:rsidRPr="00231297">
        <w:t>the use of rules, as opposed to primary legislation or regulation, is appropriate.</w:t>
      </w:r>
    </w:p>
    <w:p w:rsidR="00E51F1F" w:rsidRPr="00231297" w:rsidRDefault="00E51F1F" w:rsidP="00E51F1F">
      <w:pPr>
        <w:pStyle w:val="Quote"/>
      </w:pPr>
      <w:r w:rsidRPr="00231297">
        <w:t>In response to the question of the appropriateness of the Secretary having broader</w:t>
      </w:r>
      <w:r>
        <w:t xml:space="preserve"> </w:t>
      </w:r>
      <w:r w:rsidRPr="00231297">
        <w:t>rule-making powers than the minister, the Monitor already notes OPC Drafting Direction 3.8</w:t>
      </w:r>
      <w:r>
        <w:t xml:space="preserve"> </w:t>
      </w:r>
      <w:r w:rsidRPr="00231297">
        <w:t>states that the 'necessary and convenient power should generally be attached to the maker</w:t>
      </w:r>
      <w:r>
        <w:t xml:space="preserve"> </w:t>
      </w:r>
      <w:r w:rsidRPr="00231297">
        <w:t>who is likely to make more instruments' .The vast majority of decisions that may need to be</w:t>
      </w:r>
      <w:r>
        <w:t xml:space="preserve"> </w:t>
      </w:r>
      <w:r w:rsidRPr="00231297">
        <w:t>taken under the Act relate to its day-to-day operation. As the Secretary is the delegate for</w:t>
      </w:r>
      <w:r>
        <w:t xml:space="preserve"> </w:t>
      </w:r>
      <w:r w:rsidRPr="00231297">
        <w:t>these decisions, it is appropriate that the 'necessary and convenient' power is also held by the</w:t>
      </w:r>
      <w:r>
        <w:t xml:space="preserve"> </w:t>
      </w:r>
      <w:r w:rsidRPr="00231297">
        <w:t>Secretary. This will allow for rules to be made in relation to matters which are not readily</w:t>
      </w:r>
      <w:r>
        <w:t xml:space="preserve"> </w:t>
      </w:r>
      <w:r w:rsidRPr="00231297">
        <w:t>foreseeable but necessary for the smooth and timely operation of the scheme. I also note that</w:t>
      </w:r>
      <w:r>
        <w:t xml:space="preserve"> </w:t>
      </w:r>
      <w:r w:rsidRPr="00231297">
        <w:t>the 'necessary or convenient' rule making power is limited to prescribing matters for carrying</w:t>
      </w:r>
      <w:r>
        <w:t xml:space="preserve"> </w:t>
      </w:r>
      <w:r w:rsidRPr="00231297">
        <w:t>out or giving eff</w:t>
      </w:r>
      <w:r>
        <w:t>e</w:t>
      </w:r>
      <w:r w:rsidRPr="00231297">
        <w:t>ct to this Act. In this respect I consider the power to be appropriately</w:t>
      </w:r>
      <w:r>
        <w:t xml:space="preserve"> </w:t>
      </w:r>
      <w:r w:rsidRPr="00231297">
        <w:t>limited.</w:t>
      </w:r>
    </w:p>
    <w:p w:rsidR="00E51F1F" w:rsidRDefault="00E51F1F" w:rsidP="00E51F1F">
      <w:pPr>
        <w:rPr>
          <w:b/>
        </w:rPr>
      </w:pPr>
      <w:r w:rsidRPr="007B1193">
        <w:rPr>
          <w:b/>
        </w:rPr>
        <w:lastRenderedPageBreak/>
        <w:t>COMMITTEE RESPONSE</w:t>
      </w:r>
      <w:r>
        <w:rPr>
          <w:b/>
        </w:rPr>
        <w:t>:</w:t>
      </w:r>
    </w:p>
    <w:p w:rsidR="00E51F1F" w:rsidRPr="00786CDD" w:rsidRDefault="00E51F1F" w:rsidP="00E51F1F">
      <w:pPr>
        <w:rPr>
          <w:b/>
        </w:rPr>
      </w:pPr>
      <w:r w:rsidRPr="00786CDD">
        <w:rPr>
          <w:b/>
        </w:rPr>
        <w:t xml:space="preserve">[The committee </w:t>
      </w:r>
      <w:r>
        <w:rPr>
          <w:b/>
        </w:rPr>
        <w:t>made the following comments</w:t>
      </w:r>
      <w:r w:rsidRPr="00786CDD">
        <w:rPr>
          <w:b/>
        </w:rPr>
        <w:t xml:space="preserve"> and requested </w:t>
      </w:r>
      <w:r>
        <w:rPr>
          <w:b/>
        </w:rPr>
        <w:t xml:space="preserve">the minister's </w:t>
      </w:r>
      <w:r w:rsidRPr="00786CDD">
        <w:rPr>
          <w:b/>
        </w:rPr>
        <w:t>response to the matters outlined below</w:t>
      </w:r>
      <w:r>
        <w:rPr>
          <w:b/>
        </w:rPr>
        <w:t xml:space="preserve"> (</w:t>
      </w:r>
      <w:r>
        <w:rPr>
          <w:b/>
          <w:i/>
        </w:rPr>
        <w:t>Delegated legislation Monitor</w:t>
      </w:r>
      <w:r>
        <w:rPr>
          <w:b/>
        </w:rPr>
        <w:t xml:space="preserve"> No. 10 of 2014)</w:t>
      </w:r>
      <w:r w:rsidRPr="00786CDD">
        <w:rPr>
          <w:b/>
        </w:rPr>
        <w:t>].</w:t>
      </w:r>
    </w:p>
    <w:p w:rsidR="00E51F1F" w:rsidRPr="00A90A41" w:rsidRDefault="00E51F1F" w:rsidP="00E51F1F">
      <w:pPr>
        <w:rPr>
          <w:b/>
        </w:rPr>
      </w:pPr>
      <w:r>
        <w:rPr>
          <w:b/>
          <w:szCs w:val="26"/>
        </w:rPr>
        <w:t xml:space="preserve">The committee thanks the minister for his response, which </w:t>
      </w:r>
      <w:r w:rsidRPr="00A90A41">
        <w:rPr>
          <w:b/>
        </w:rPr>
        <w:t xml:space="preserve">will inform the committee's deliberations </w:t>
      </w:r>
      <w:r>
        <w:rPr>
          <w:b/>
        </w:rPr>
        <w:t xml:space="preserve">and </w:t>
      </w:r>
      <w:r w:rsidRPr="00A90A41">
        <w:rPr>
          <w:b/>
        </w:rPr>
        <w:t>the upcoming briefing with FPC and officers from OPC.</w:t>
      </w:r>
    </w:p>
    <w:p w:rsidR="00E51F1F" w:rsidRDefault="00E51F1F" w:rsidP="00E51F1F">
      <w:pPr>
        <w:rPr>
          <w:b/>
          <w:szCs w:val="26"/>
        </w:rPr>
      </w:pPr>
      <w:r>
        <w:rPr>
          <w:b/>
          <w:szCs w:val="26"/>
        </w:rPr>
        <w:t xml:space="preserve">However, in relation to FPC's advice on the general rule-making power cited by the minister, the committee notes that significant issues regarding the consequences and policy guidance for the use of the general rule-making power are not settled. </w:t>
      </w:r>
    </w:p>
    <w:p w:rsidR="00E51F1F" w:rsidRPr="007107BE" w:rsidRDefault="00E51F1F" w:rsidP="00E51F1F">
      <w:pPr>
        <w:rPr>
          <w:b/>
        </w:rPr>
      </w:pPr>
      <w:r w:rsidRPr="007107BE">
        <w:rPr>
          <w:b/>
        </w:rPr>
        <w:t>MINISTER'S RESPONSE:</w:t>
      </w:r>
    </w:p>
    <w:p w:rsidR="00E51F1F" w:rsidRDefault="00E51F1F" w:rsidP="00E51F1F">
      <w:pPr>
        <w:pStyle w:val="Level1"/>
        <w:numPr>
          <w:ilvl w:val="0"/>
          <w:numId w:val="0"/>
        </w:numPr>
      </w:pPr>
      <w:r>
        <w:t>The Minister for Infrastructure and Regional Development advised:</w:t>
      </w:r>
    </w:p>
    <w:p w:rsidR="00E51F1F" w:rsidRDefault="00E51F1F" w:rsidP="00E51F1F">
      <w:pPr>
        <w:pStyle w:val="Quote"/>
      </w:pPr>
      <w:r w:rsidRPr="002E44C4">
        <w:t>I note that the Committee's concern that consequences and policy guidance around the</w:t>
      </w:r>
      <w:r>
        <w:t xml:space="preserve"> </w:t>
      </w:r>
      <w:r w:rsidRPr="002E44C4">
        <w:t>general rule-making power is not settled. I am advised that since Minister Joyce's response</w:t>
      </w:r>
      <w:r>
        <w:t xml:space="preserve"> </w:t>
      </w:r>
      <w:r w:rsidRPr="002E44C4">
        <w:t>of 5 August 2014 you have met with Mr Peter Quiggin PSM, First Parliamentary Council</w:t>
      </w:r>
      <w:r>
        <w:t xml:space="preserve"> </w:t>
      </w:r>
      <w:r w:rsidRPr="002E44C4">
        <w:t>and Mr John L</w:t>
      </w:r>
      <w:r>
        <w:t>e</w:t>
      </w:r>
      <w:r w:rsidRPr="002E44C4">
        <w:t>ahy, Principal Legislative Counsel. Given this issue has much broader</w:t>
      </w:r>
      <w:r>
        <w:t xml:space="preserve"> </w:t>
      </w:r>
      <w:r w:rsidRPr="002E44C4">
        <w:t xml:space="preserve">application to Commonwealth legislation than the </w:t>
      </w:r>
      <w:r w:rsidRPr="008E6B59">
        <w:rPr>
          <w:i/>
        </w:rPr>
        <w:t>Farm Household Support Act 2014</w:t>
      </w:r>
      <w:r w:rsidRPr="002E44C4">
        <w:t xml:space="preserve"> (the</w:t>
      </w:r>
      <w:r>
        <w:t xml:space="preserve"> </w:t>
      </w:r>
      <w:r w:rsidRPr="002E44C4">
        <w:t>Act), the resolution of this at a generic level through your interactions with the Office of</w:t>
      </w:r>
      <w:r>
        <w:t xml:space="preserve"> </w:t>
      </w:r>
      <w:r w:rsidRPr="002E44C4">
        <w:t>Parliamentary Counsel would seem the most appropriate course of action.</w:t>
      </w:r>
    </w:p>
    <w:p w:rsidR="00E51F1F" w:rsidRDefault="00E51F1F" w:rsidP="00E51F1F">
      <w:pPr>
        <w:rPr>
          <w:b/>
        </w:rPr>
      </w:pPr>
      <w:r w:rsidRPr="007B1193">
        <w:rPr>
          <w:b/>
        </w:rPr>
        <w:t>COMMITTEE RESPONSE</w:t>
      </w:r>
      <w:r>
        <w:rPr>
          <w:b/>
        </w:rPr>
        <w:t>:</w:t>
      </w:r>
    </w:p>
    <w:p w:rsidR="00E51F1F" w:rsidRDefault="00E51F1F" w:rsidP="00E51F1F">
      <w:r>
        <w:t>The committee thanks the Minister for Infrastructure and Regional Development for his response.</w:t>
      </w:r>
    </w:p>
    <w:p w:rsidR="00E51F1F" w:rsidRPr="00CE390C" w:rsidRDefault="00E51F1F" w:rsidP="00E51F1F">
      <w:pPr>
        <w:rPr>
          <w:b/>
        </w:rPr>
      </w:pPr>
      <w:r>
        <w:t xml:space="preserve">As noted by the minister, the committee is pursuing a number of issues arising from the prescribing of matters by legislative rules, and will report on these in due course. </w:t>
      </w:r>
      <w:r w:rsidRPr="00B4763E">
        <w:rPr>
          <w:b/>
        </w:rPr>
        <w:t>[</w:t>
      </w:r>
      <w:r>
        <w:rPr>
          <w:b/>
        </w:rPr>
        <w:t>The committee therefore concluded its examination of this aspect of the instrument (</w:t>
      </w:r>
      <w:r>
        <w:rPr>
          <w:b/>
          <w:i/>
        </w:rPr>
        <w:t>Delegated legislation Monitor</w:t>
      </w:r>
      <w:r>
        <w:rPr>
          <w:b/>
        </w:rPr>
        <w:t xml:space="preserve"> No. 12 of 2014)].</w:t>
      </w:r>
    </w:p>
    <w:p w:rsidR="00E51F1F" w:rsidRPr="00164622" w:rsidRDefault="00E51F1F" w:rsidP="00E51F1F">
      <w:pPr>
        <w:rPr>
          <w:b/>
          <w:szCs w:val="26"/>
        </w:rPr>
      </w:pPr>
      <w:r w:rsidRPr="00164622">
        <w:rPr>
          <w:b/>
          <w:szCs w:val="26"/>
        </w:rPr>
        <w:t>Issue:</w:t>
      </w:r>
    </w:p>
    <w:p w:rsidR="00E51F1F" w:rsidRDefault="00E51F1F" w:rsidP="00E51F1F">
      <w:pPr>
        <w:rPr>
          <w:i/>
        </w:rPr>
      </w:pPr>
      <w:r>
        <w:rPr>
          <w:i/>
        </w:rPr>
        <w:t>Potential delegation of general rule-making power</w:t>
      </w:r>
    </w:p>
    <w:p w:rsidR="00E51F1F" w:rsidRDefault="00E51F1F" w:rsidP="00E51F1F">
      <w:r>
        <w:t xml:space="preserve">Section 101 of the </w:t>
      </w:r>
      <w:r>
        <w:rPr>
          <w:i/>
        </w:rPr>
        <w:t>Farm Household Support Act</w:t>
      </w:r>
      <w:r w:rsidRPr="00651B7E">
        <w:rPr>
          <w:i/>
        </w:rPr>
        <w:t xml:space="preserve"> 2014</w:t>
      </w:r>
      <w:r>
        <w:t xml:space="preserve"> provides that the secretary may delegate their powers to officers below the Senior Executive Officer level:</w:t>
      </w:r>
    </w:p>
    <w:p w:rsidR="00E51F1F" w:rsidRPr="00BE2DE5" w:rsidRDefault="00E51F1F" w:rsidP="00E51F1F">
      <w:pPr>
        <w:pStyle w:val="Quote"/>
        <w:numPr>
          <w:ilvl w:val="0"/>
          <w:numId w:val="39"/>
        </w:numPr>
        <w:ind w:left="1276" w:hanging="425"/>
      </w:pPr>
      <w:r w:rsidRPr="00BE2DE5">
        <w:t>The Secretary may, by signed writing, delegate to an officer of the</w:t>
      </w:r>
      <w:r>
        <w:t xml:space="preserve"> </w:t>
      </w:r>
      <w:r w:rsidRPr="00BE2DE5">
        <w:t>Department all or any of his or her powers or functions under this</w:t>
      </w:r>
      <w:r>
        <w:t xml:space="preserve"> </w:t>
      </w:r>
      <w:r w:rsidRPr="00BE2DE5">
        <w:t>Act, or the Social Security Act or the Social Security</w:t>
      </w:r>
      <w:r>
        <w:t xml:space="preserve"> </w:t>
      </w:r>
      <w:r w:rsidRPr="00BE2DE5">
        <w:t>Administration Act (as those Acts apply because of Part 5 of this</w:t>
      </w:r>
      <w:r>
        <w:t xml:space="preserve"> </w:t>
      </w:r>
      <w:r w:rsidRPr="00BE2DE5">
        <w:t>Act).</w:t>
      </w:r>
    </w:p>
    <w:p w:rsidR="00E51F1F" w:rsidRDefault="00E51F1F" w:rsidP="00E51F1F">
      <w:pPr>
        <w:pStyle w:val="Quote"/>
        <w:numPr>
          <w:ilvl w:val="0"/>
          <w:numId w:val="39"/>
        </w:numPr>
        <w:spacing w:after="120"/>
        <w:ind w:left="1276" w:hanging="425"/>
      </w:pPr>
      <w:r w:rsidRPr="00BE2DE5">
        <w:lastRenderedPageBreak/>
        <w:t xml:space="preserve">The Secretary (the </w:t>
      </w:r>
      <w:r w:rsidRPr="00BE2DE5">
        <w:rPr>
          <w:i/>
        </w:rPr>
        <w:t>Agriculture Secretary</w:t>
      </w:r>
      <w:r w:rsidRPr="00BE2DE5">
        <w:t>) may, in writing,</w:t>
      </w:r>
      <w:r>
        <w:t xml:space="preserve"> </w:t>
      </w:r>
      <w:r w:rsidRPr="00BE2DE5">
        <w:t>delegate all or any of his or her powers or functions under this Act,</w:t>
      </w:r>
      <w:r>
        <w:t xml:space="preserve"> </w:t>
      </w:r>
      <w:r w:rsidRPr="00BE2DE5">
        <w:t>or the Social Security Act or the Social Security Administration</w:t>
      </w:r>
      <w:r>
        <w:t xml:space="preserve"> Act (as those Acts apply because of Part 5 of this </w:t>
      </w:r>
      <w:r w:rsidRPr="00BE2DE5">
        <w:t>A</w:t>
      </w:r>
      <w:r>
        <w:t>ct), </w:t>
      </w:r>
      <w:r w:rsidRPr="00BE2DE5">
        <w:t>to:</w:t>
      </w:r>
    </w:p>
    <w:p w:rsidR="00E51F1F" w:rsidRDefault="00E51F1F" w:rsidP="00E51F1F">
      <w:pPr>
        <w:pStyle w:val="Quote"/>
        <w:numPr>
          <w:ilvl w:val="0"/>
          <w:numId w:val="40"/>
        </w:numPr>
        <w:spacing w:after="60"/>
        <w:ind w:left="1843" w:hanging="567"/>
      </w:pPr>
      <w:r>
        <w:t>the Social Security Secretary; </w:t>
      </w:r>
      <w:r w:rsidRPr="00BE2DE5">
        <w:t>or</w:t>
      </w:r>
    </w:p>
    <w:p w:rsidR="00E51F1F" w:rsidRDefault="00E51F1F" w:rsidP="00E51F1F">
      <w:pPr>
        <w:pStyle w:val="Quote"/>
        <w:numPr>
          <w:ilvl w:val="0"/>
          <w:numId w:val="40"/>
        </w:numPr>
        <w:spacing w:after="60"/>
        <w:ind w:left="1843" w:hanging="567"/>
      </w:pPr>
      <w:r w:rsidRPr="00BE2DE5">
        <w:t>an SES employee or acting SES employee in the Social</w:t>
      </w:r>
      <w:r>
        <w:t xml:space="preserve"> Security Department; </w:t>
      </w:r>
      <w:r w:rsidRPr="00BE2DE5">
        <w:t>or</w:t>
      </w:r>
    </w:p>
    <w:p w:rsidR="00E51F1F" w:rsidRDefault="00E51F1F" w:rsidP="00E51F1F">
      <w:pPr>
        <w:pStyle w:val="Quote"/>
        <w:numPr>
          <w:ilvl w:val="0"/>
          <w:numId w:val="40"/>
        </w:numPr>
        <w:spacing w:after="60"/>
        <w:ind w:left="1843" w:hanging="567"/>
      </w:pPr>
      <w:r>
        <w:t>the Chief Executive Centrelink; </w:t>
      </w:r>
      <w:r w:rsidRPr="00BE2DE5">
        <w:t>or</w:t>
      </w:r>
    </w:p>
    <w:p w:rsidR="00E51F1F" w:rsidRPr="00BE2DE5" w:rsidRDefault="00E51F1F" w:rsidP="00E51F1F">
      <w:pPr>
        <w:pStyle w:val="Quote"/>
        <w:numPr>
          <w:ilvl w:val="0"/>
          <w:numId w:val="40"/>
        </w:numPr>
        <w:ind w:left="1843" w:hanging="567"/>
      </w:pPr>
      <w:r w:rsidRPr="00BE2DE5">
        <w:t xml:space="preserve">a Departmental employee (within the meaning of the </w:t>
      </w:r>
      <w:r w:rsidRPr="00124C19">
        <w:rPr>
          <w:i/>
        </w:rPr>
        <w:t>Human Services (Centrelink) Act 1997</w:t>
      </w:r>
      <w:r w:rsidRPr="00BE2DE5">
        <w:t>).</w:t>
      </w:r>
    </w:p>
    <w:p w:rsidR="00E51F1F" w:rsidRDefault="00E51F1F" w:rsidP="00E51F1F">
      <w:r>
        <w:t xml:space="preserve">The EM for </w:t>
      </w:r>
      <w:r w:rsidRPr="00BD5F23">
        <w:t xml:space="preserve">the Farm Household Support </w:t>
      </w:r>
      <w:r>
        <w:t>Bill</w:t>
      </w:r>
      <w:r w:rsidRPr="00BD5F23">
        <w:t xml:space="preserve"> 2014 </w:t>
      </w:r>
      <w:r>
        <w:t>stated:</w:t>
      </w:r>
    </w:p>
    <w:p w:rsidR="00E51F1F" w:rsidRDefault="00E51F1F" w:rsidP="00E51F1F">
      <w:pPr>
        <w:pStyle w:val="Quote"/>
      </w:pPr>
      <w:r w:rsidRPr="00185BDD">
        <w:t>These delegation powers are intentionally broad, due to the interaction of the Bill with the Social Security Act and the Social Security Administration Act. They are also necessary because payments under the Bill will be delivered by DHS. Case management by DHS is cent</w:t>
      </w:r>
      <w:r>
        <w:t>ral to FHA and to achieving FHA'</w:t>
      </w:r>
      <w:r w:rsidRPr="00185BDD">
        <w:t>s objectives of supporting farmers and their partners who are in hardship while improving their capacity for self-reliance. Operationally, this will require DHS officers below the Senior Executive Officer level to have these powers delegated to them.</w:t>
      </w:r>
    </w:p>
    <w:p w:rsidR="00E51F1F" w:rsidRDefault="00E51F1F" w:rsidP="00E51F1F">
      <w:pPr>
        <w:pStyle w:val="Level1"/>
        <w:numPr>
          <w:ilvl w:val="0"/>
          <w:numId w:val="0"/>
        </w:numPr>
        <w:rPr>
          <w:b/>
        </w:rPr>
      </w:pPr>
      <w:r>
        <w:t>The committee notes the operational reasons given in the EM for the broad delegation of the secretary's powers. However, noting the committee's previous inquiries regarding the implications of the new general rule-making power for executive exercise and oversight of Parliament's delegated legislative powers (</w:t>
      </w:r>
      <w:r w:rsidRPr="00651B7E">
        <w:t xml:space="preserve">see comments on </w:t>
      </w:r>
      <w:r>
        <w:t xml:space="preserve">the </w:t>
      </w:r>
      <w:r w:rsidRPr="00651B7E">
        <w:t>Australian Jobs (Australian Industry Participation) Rule 2014 [F2014L00125]</w:t>
      </w:r>
      <w:r>
        <w:t>), a question arises as to whether the secretary's general rule-making powers under section 106(2) may be delegated under section 101 and, if so, what considerations might apply in that case</w:t>
      </w:r>
      <w:r>
        <w:rPr>
          <w:b/>
        </w:rPr>
        <w:t xml:space="preserve"> [t</w:t>
      </w:r>
      <w:r w:rsidRPr="004A041C">
        <w:rPr>
          <w:b/>
        </w:rPr>
        <w:t>he committee therefore request</w:t>
      </w:r>
      <w:r>
        <w:rPr>
          <w:b/>
        </w:rPr>
        <w:t>ed</w:t>
      </w:r>
      <w:r w:rsidRPr="004A041C">
        <w:rPr>
          <w:b/>
        </w:rPr>
        <w:t xml:space="preserve"> the </w:t>
      </w:r>
      <w:r>
        <w:rPr>
          <w:b/>
        </w:rPr>
        <w:t xml:space="preserve">advice of the </w:t>
      </w:r>
      <w:r w:rsidRPr="004A041C">
        <w:rPr>
          <w:b/>
        </w:rPr>
        <w:t xml:space="preserve">minister </w:t>
      </w:r>
      <w:r>
        <w:rPr>
          <w:b/>
        </w:rPr>
        <w:t>in relation to this matter (</w:t>
      </w:r>
      <w:r>
        <w:rPr>
          <w:b/>
          <w:i/>
        </w:rPr>
        <w:t>Delegated legislation monitor</w:t>
      </w:r>
      <w:r>
        <w:rPr>
          <w:b/>
        </w:rPr>
        <w:t xml:space="preserve"> No. 8 of 2014)].</w:t>
      </w:r>
    </w:p>
    <w:p w:rsidR="00E51F1F" w:rsidRPr="007107BE" w:rsidRDefault="00E51F1F" w:rsidP="00E51F1F">
      <w:pPr>
        <w:rPr>
          <w:b/>
        </w:rPr>
      </w:pPr>
      <w:r w:rsidRPr="007107BE">
        <w:rPr>
          <w:b/>
        </w:rPr>
        <w:t>MINISTER'S RESPONSE:</w:t>
      </w:r>
    </w:p>
    <w:p w:rsidR="00E51F1F" w:rsidRDefault="00E51F1F" w:rsidP="00E51F1F">
      <w:r>
        <w:t>The Minister for Agriculture advised:</w:t>
      </w:r>
    </w:p>
    <w:p w:rsidR="00E51F1F" w:rsidRPr="00601028" w:rsidRDefault="00E51F1F" w:rsidP="00E51F1F">
      <w:pPr>
        <w:pStyle w:val="Quote"/>
      </w:pPr>
      <w:r w:rsidRPr="00601028">
        <w:t>The committee notes that section 10</w:t>
      </w:r>
      <w:r>
        <w:t>1</w:t>
      </w:r>
      <w:r w:rsidRPr="00601028">
        <w:t xml:space="preserve"> of the Act provides that the Secretary may delegate his</w:t>
      </w:r>
      <w:r>
        <w:t xml:space="preserve"> </w:t>
      </w:r>
      <w:r w:rsidRPr="00601028">
        <w:t>powers to officers below the Senior Executive Officer level. It notes the operational reasons</w:t>
      </w:r>
      <w:r>
        <w:t xml:space="preserve"> </w:t>
      </w:r>
      <w:r w:rsidRPr="00601028">
        <w:t>given in the explanatory memorandum for the broad delegation of the Secretary's power and</w:t>
      </w:r>
      <w:r>
        <w:t xml:space="preserve"> </w:t>
      </w:r>
      <w:r w:rsidRPr="00601028">
        <w:t>seeks clarification as to whether the general rule-making powers may be delegated under</w:t>
      </w:r>
      <w:r>
        <w:t xml:space="preserve"> section 101</w:t>
      </w:r>
      <w:r w:rsidRPr="00601028">
        <w:t>, and, if so, what considerations might apply in that case.</w:t>
      </w:r>
    </w:p>
    <w:p w:rsidR="00E51F1F" w:rsidRDefault="00E51F1F" w:rsidP="00E51F1F">
      <w:pPr>
        <w:pStyle w:val="Quote"/>
      </w:pPr>
      <w:r w:rsidRPr="00601028">
        <w:t>My advice is that there is no legal impediment to the Secretary delegating any or all of his</w:t>
      </w:r>
      <w:r>
        <w:t xml:space="preserve"> </w:t>
      </w:r>
      <w:r w:rsidRPr="00601028">
        <w:t>powers or functions under the Act (section 101 Delegation of powers). While legally this</w:t>
      </w:r>
      <w:r>
        <w:t xml:space="preserve"> </w:t>
      </w:r>
      <w:r w:rsidRPr="00601028">
        <w:t>rule-making power could be delegated, in practice, this delegation is not exercised. This is</w:t>
      </w:r>
      <w:r>
        <w:t xml:space="preserve"> </w:t>
      </w:r>
      <w:r w:rsidRPr="00601028">
        <w:t>reflected in the Secretary's instrument of delegation to the Chief Executive of Centrelink and</w:t>
      </w:r>
      <w:r>
        <w:t xml:space="preserve"> </w:t>
      </w:r>
      <w:r w:rsidRPr="00601028">
        <w:t xml:space="preserve">to senior </w:t>
      </w:r>
      <w:r w:rsidRPr="00601028">
        <w:lastRenderedPageBreak/>
        <w:t>executives within the Department of Agriculture (the department) where this power</w:t>
      </w:r>
      <w:r>
        <w:t xml:space="preserve"> </w:t>
      </w:r>
      <w:r w:rsidRPr="00601028">
        <w:t>has been specifically retained. Additionally, in line with the Administrative Arrangements</w:t>
      </w:r>
      <w:r>
        <w:t xml:space="preserve"> </w:t>
      </w:r>
      <w:r w:rsidRPr="00601028">
        <w:t>under the Administrative Arrangements Order, the d</w:t>
      </w:r>
      <w:r>
        <w:t>epartment is responsible for 'ru</w:t>
      </w:r>
      <w:r w:rsidRPr="00601028">
        <w:t>ral</w:t>
      </w:r>
      <w:r>
        <w:t xml:space="preserve"> </w:t>
      </w:r>
      <w:r w:rsidRPr="00601028">
        <w:t>adjustment and drought issues'. Give</w:t>
      </w:r>
      <w:r>
        <w:t>n</w:t>
      </w:r>
      <w:r w:rsidRPr="00601028">
        <w:t xml:space="preserve"> this responsibility I do not foresee any circumstances</w:t>
      </w:r>
      <w:r>
        <w:t xml:space="preserve"> </w:t>
      </w:r>
      <w:r w:rsidRPr="00601028">
        <w:t>where the general rule making power would be delegated to an employee outside of the</w:t>
      </w:r>
      <w:r>
        <w:t xml:space="preserve"> </w:t>
      </w:r>
      <w:r w:rsidRPr="00601028">
        <w:t>department or below the senior executive level within the department.</w:t>
      </w:r>
    </w:p>
    <w:p w:rsidR="00E51F1F" w:rsidRDefault="00E51F1F" w:rsidP="00E51F1F">
      <w:pPr>
        <w:rPr>
          <w:b/>
        </w:rPr>
      </w:pPr>
      <w:r w:rsidRPr="00CB4A82">
        <w:rPr>
          <w:b/>
        </w:rPr>
        <w:t>COMMITTEE RESPONSE</w:t>
      </w:r>
      <w:r>
        <w:rPr>
          <w:b/>
        </w:rPr>
        <w:t>:</w:t>
      </w:r>
    </w:p>
    <w:p w:rsidR="00E51F1F" w:rsidRPr="00786CDD" w:rsidRDefault="00E51F1F" w:rsidP="00E51F1F">
      <w:pPr>
        <w:rPr>
          <w:b/>
        </w:rPr>
      </w:pPr>
      <w:r w:rsidRPr="00786CDD">
        <w:rPr>
          <w:b/>
        </w:rPr>
        <w:t>[The committee thanked the minister for his response</w:t>
      </w:r>
      <w:r>
        <w:rPr>
          <w:b/>
        </w:rPr>
        <w:t>, made the following comments,</w:t>
      </w:r>
      <w:r w:rsidRPr="00786CDD">
        <w:rPr>
          <w:b/>
        </w:rPr>
        <w:t xml:space="preserve"> and requested his response to the matters outlined below</w:t>
      </w:r>
      <w:r>
        <w:rPr>
          <w:b/>
        </w:rPr>
        <w:t xml:space="preserve"> (</w:t>
      </w:r>
      <w:r w:rsidRPr="00176C75">
        <w:rPr>
          <w:b/>
          <w:i/>
        </w:rPr>
        <w:t>Delegated legislation monitor</w:t>
      </w:r>
      <w:r>
        <w:rPr>
          <w:b/>
        </w:rPr>
        <w:t xml:space="preserve"> No. 10 of 2014)</w:t>
      </w:r>
      <w:r w:rsidRPr="00786CDD">
        <w:rPr>
          <w:b/>
        </w:rPr>
        <w:t>].</w:t>
      </w:r>
    </w:p>
    <w:p w:rsidR="00E51F1F" w:rsidRPr="00B41D82" w:rsidRDefault="00E51F1F" w:rsidP="00E51F1F">
      <w:r>
        <w:t xml:space="preserve">However, the committee notes the Senate Standing Committee for the Scrutiny of Bills (the Scrutiny of Bills committee) </w:t>
      </w:r>
      <w:r w:rsidRPr="00B41D82">
        <w:t>has consistently drawn attention to legislation that allows delegations to a relatively large class of persons, with little or no specificity as to their qualifications</w:t>
      </w:r>
      <w:r>
        <w:t xml:space="preserve"> or attributes. Generally, the Scrutiny of Bills c</w:t>
      </w:r>
      <w:r w:rsidRPr="00B41D82">
        <w:t>ommittee prefers to see a limit set either on the sorts of powers that might be delegated or on the categories of people to whom those powers m</w:t>
      </w:r>
      <w:r>
        <w:t>ay</w:t>
      </w:r>
      <w:r w:rsidRPr="00B41D82">
        <w:t xml:space="preserve"> be </w:t>
      </w:r>
      <w:r>
        <w:t>delegated. The Scrutiny of Bills committee'</w:t>
      </w:r>
      <w:r w:rsidRPr="00B41D82">
        <w:t>s preference is that delegates be confined to the holders of nominate</w:t>
      </w:r>
      <w:r>
        <w:t>d offices or to members of the senior executive s</w:t>
      </w:r>
      <w:r w:rsidRPr="00B41D82">
        <w:t>ervice.</w:t>
      </w:r>
    </w:p>
    <w:p w:rsidR="00E51F1F" w:rsidRDefault="00E51F1F" w:rsidP="00E51F1F">
      <w:r>
        <w:t>The committee also notes the operational justification given for the delegation of certain powers to officers below senior executive s</w:t>
      </w:r>
      <w:r w:rsidRPr="00B41D82">
        <w:t>ervice</w:t>
      </w:r>
      <w:r>
        <w:t xml:space="preserve"> level, and the minister's advice that he does '</w:t>
      </w:r>
      <w:r w:rsidRPr="00E44323">
        <w:t>not foresee any circumstances where the general rule making power would be delegated to an employee outside of the department or below the senior executive level within the department</w:t>
      </w:r>
      <w:r>
        <w:t>'.</w:t>
      </w:r>
    </w:p>
    <w:p w:rsidR="00E51F1F" w:rsidRPr="006F4C97" w:rsidRDefault="00E51F1F" w:rsidP="00E51F1F">
      <w:pPr>
        <w:rPr>
          <w:b/>
        </w:rPr>
      </w:pPr>
      <w:r w:rsidRPr="006F4C97">
        <w:rPr>
          <w:b/>
        </w:rPr>
        <w:t>In the committee's view, notwithstanding the minister's advice that there is no legal impediment to the delegation of the rule-making power in this case, there remains a question as to whether it is appropriate in any case that the general rule-making power be delegated (noting in particular the committee's concerns regarding the extent to which the general rule-making power diminishes the requirement for close executive oversight of the exercise of Parliament's delegated legislative powers).</w:t>
      </w:r>
      <w:r>
        <w:rPr>
          <w:rStyle w:val="FootnoteReference"/>
          <w:b/>
        </w:rPr>
        <w:footnoteReference w:id="7"/>
      </w:r>
      <w:r w:rsidRPr="006F4C97">
        <w:rPr>
          <w:b/>
        </w:rPr>
        <w:t xml:space="preserve"> The committee therefore seeks the minister's further advice on this matter.</w:t>
      </w:r>
    </w:p>
    <w:p w:rsidR="00E51F1F" w:rsidRPr="007107BE" w:rsidRDefault="00E51F1F" w:rsidP="00E51F1F">
      <w:pPr>
        <w:rPr>
          <w:b/>
        </w:rPr>
      </w:pPr>
      <w:r w:rsidRPr="007107BE">
        <w:rPr>
          <w:b/>
        </w:rPr>
        <w:t>MINISTER'S RESPONSE:</w:t>
      </w:r>
    </w:p>
    <w:p w:rsidR="00E51F1F" w:rsidRDefault="00E51F1F" w:rsidP="00E51F1F">
      <w:pPr>
        <w:pStyle w:val="Level1"/>
        <w:numPr>
          <w:ilvl w:val="0"/>
          <w:numId w:val="0"/>
        </w:numPr>
      </w:pPr>
      <w:r>
        <w:t>The Minister for Infrastructure and Regional Development advised:</w:t>
      </w:r>
    </w:p>
    <w:p w:rsidR="00E51F1F" w:rsidRDefault="00E51F1F" w:rsidP="00E51F1F">
      <w:pPr>
        <w:pStyle w:val="Quote"/>
        <w:spacing w:after="120"/>
      </w:pPr>
      <w:r w:rsidRPr="002E44C4">
        <w:lastRenderedPageBreak/>
        <w:t>I note that the general rule-making power was not delegated in relation to the instrument</w:t>
      </w:r>
      <w:r>
        <w:t xml:space="preserve"> </w:t>
      </w:r>
      <w:r w:rsidRPr="002E44C4">
        <w:t>currently being considered by the Committee, as it was made by the Secretary of the</w:t>
      </w:r>
      <w:r>
        <w:t xml:space="preserve"> </w:t>
      </w:r>
      <w:r w:rsidRPr="002E44C4">
        <w:t>Department of Agriculture (secretary).</w:t>
      </w:r>
    </w:p>
    <w:p w:rsidR="00E51F1F" w:rsidRPr="002E44C4" w:rsidRDefault="00E51F1F" w:rsidP="00E51F1F">
      <w:pPr>
        <w:pStyle w:val="Quote"/>
        <w:spacing w:after="120"/>
      </w:pPr>
      <w:r w:rsidRPr="002E44C4">
        <w:t>I also note that, as Minister Joyce advised in his previous response to the Committee of</w:t>
      </w:r>
      <w:r>
        <w:t xml:space="preserve"> </w:t>
      </w:r>
      <w:r w:rsidRPr="002E44C4">
        <w:t>5 August 2014, in practice the rule making power in section 106 of the Act has not been</w:t>
      </w:r>
      <w:r>
        <w:t xml:space="preserve"> </w:t>
      </w:r>
      <w:r w:rsidRPr="002E44C4">
        <w:t>delegated. As an example, the secretary deliberately chose not to delegate the power to the</w:t>
      </w:r>
      <w:r>
        <w:t xml:space="preserve"> </w:t>
      </w:r>
      <w:r w:rsidRPr="002E44C4">
        <w:t>Chief Executive of Centrelink, which contrasts with most other powers under the Act,</w:t>
      </w:r>
      <w:r>
        <w:t xml:space="preserve"> </w:t>
      </w:r>
      <w:r w:rsidRPr="002E44C4">
        <w:t>which were delegated. In addition to the above, the secretary has informed me that at the</w:t>
      </w:r>
      <w:r>
        <w:t xml:space="preserve"> </w:t>
      </w:r>
      <w:r w:rsidRPr="002E44C4">
        <w:t>current point in time, he has no intention of delegating his rule making powers, or that any</w:t>
      </w:r>
      <w:r>
        <w:t xml:space="preserve"> </w:t>
      </w:r>
      <w:r w:rsidRPr="002E44C4">
        <w:t>such delegation is currently necessary for administration of Farm Household Allowance.</w:t>
      </w:r>
    </w:p>
    <w:p w:rsidR="00E51F1F" w:rsidRDefault="00E51F1F" w:rsidP="00E51F1F">
      <w:pPr>
        <w:pStyle w:val="Quote"/>
      </w:pPr>
      <w:r w:rsidRPr="002E44C4">
        <w:t>I have also been advised that the Office of Parliamentary Counsel has provided the</w:t>
      </w:r>
      <w:r>
        <w:t xml:space="preserve"> </w:t>
      </w:r>
      <w:r w:rsidRPr="002E44C4">
        <w:t>Committee with a draft Drafting Direction that will clarify the issue of delegating the</w:t>
      </w:r>
      <w:r>
        <w:t xml:space="preserve"> </w:t>
      </w:r>
      <w:r w:rsidRPr="002E44C4">
        <w:t>power to make instruments under future legislation. I understand that the Committee has</w:t>
      </w:r>
      <w:r>
        <w:t xml:space="preserve"> </w:t>
      </w:r>
      <w:r w:rsidRPr="002E44C4">
        <w:t>also discussed this broader issue with the First Parliamentary Counsel and the Principal</w:t>
      </w:r>
      <w:r>
        <w:t xml:space="preserve"> </w:t>
      </w:r>
      <w:r w:rsidRPr="002E44C4">
        <w:t>Legislative Counsel.</w:t>
      </w:r>
    </w:p>
    <w:p w:rsidR="00E51F1F" w:rsidRDefault="00E51F1F" w:rsidP="00E51F1F">
      <w:pPr>
        <w:rPr>
          <w:b/>
        </w:rPr>
      </w:pPr>
      <w:r w:rsidRPr="007B1193">
        <w:rPr>
          <w:b/>
        </w:rPr>
        <w:t>COMMITTEE RESPONSE</w:t>
      </w:r>
      <w:r>
        <w:rPr>
          <w:b/>
        </w:rPr>
        <w:t>:</w:t>
      </w:r>
    </w:p>
    <w:p w:rsidR="00E51F1F" w:rsidRPr="00786CDD" w:rsidRDefault="00E51F1F" w:rsidP="00E51F1F">
      <w:pPr>
        <w:spacing w:after="120"/>
        <w:rPr>
          <w:b/>
        </w:rPr>
      </w:pPr>
      <w:r w:rsidRPr="00786CDD">
        <w:rPr>
          <w:b/>
        </w:rPr>
        <w:t>[The committee thanked the minister for his response</w:t>
      </w:r>
      <w:r>
        <w:rPr>
          <w:b/>
        </w:rPr>
        <w:t>, made the following comments,</w:t>
      </w:r>
      <w:r w:rsidRPr="00786CDD">
        <w:rPr>
          <w:b/>
        </w:rPr>
        <w:t xml:space="preserve"> and requested his response to the matters outlined below</w:t>
      </w:r>
      <w:r>
        <w:rPr>
          <w:b/>
        </w:rPr>
        <w:t xml:space="preserve"> (</w:t>
      </w:r>
      <w:r w:rsidRPr="00176C75">
        <w:rPr>
          <w:b/>
          <w:i/>
        </w:rPr>
        <w:t>Delegated legislation monitor</w:t>
      </w:r>
      <w:r>
        <w:rPr>
          <w:b/>
        </w:rPr>
        <w:t xml:space="preserve"> No. 12 of 2014)</w:t>
      </w:r>
      <w:r w:rsidRPr="00786CDD">
        <w:rPr>
          <w:b/>
        </w:rPr>
        <w:t>].</w:t>
      </w:r>
    </w:p>
    <w:p w:rsidR="00E51F1F" w:rsidRDefault="00E51F1F" w:rsidP="00E51F1F">
      <w:pPr>
        <w:spacing w:after="120"/>
      </w:pPr>
      <w:r>
        <w:t>As noted by the minister, the committee is pursuing a number of issues arising from the prescribing of matters by legislative rules, including the issue of subdelegation of the general rule-making power.</w:t>
      </w:r>
    </w:p>
    <w:p w:rsidR="00E51F1F" w:rsidRPr="00732CF9" w:rsidRDefault="00E51F1F" w:rsidP="00E51F1F">
      <w:pPr>
        <w:rPr>
          <w:b/>
        </w:rPr>
      </w:pPr>
      <w:r>
        <w:t xml:space="preserve">However, in this case, the committee notes the minister's advice </w:t>
      </w:r>
      <w:r w:rsidRPr="002E4BEA">
        <w:t>that the delegation of the general rule-making power is neither intended nor necessary</w:t>
      </w:r>
      <w:r>
        <w:t xml:space="preserve">. </w:t>
      </w:r>
      <w:r w:rsidRPr="00C773A5">
        <w:rPr>
          <w:b/>
        </w:rPr>
        <w:t>Taking into account the scrutiny preference, as expressed by the Scrutiny of Bills committee, that the delegation of legislative power be only as broad as strictly required, t</w:t>
      </w:r>
      <w:r w:rsidRPr="002E4BEA">
        <w:rPr>
          <w:b/>
        </w:rPr>
        <w:t xml:space="preserve">he committee therefore requests that the </w:t>
      </w:r>
      <w:r w:rsidRPr="002E4BEA">
        <w:rPr>
          <w:b/>
          <w:i/>
        </w:rPr>
        <w:t>Farm Household Support Act 2014</w:t>
      </w:r>
      <w:r w:rsidRPr="002E4BEA">
        <w:rPr>
          <w:b/>
        </w:rPr>
        <w:t xml:space="preserve"> be amended to specifically exclude the delegation of the general rule-making power.</w:t>
      </w:r>
    </w:p>
    <w:p w:rsidR="00E51F1F" w:rsidRPr="007107BE" w:rsidRDefault="00E51F1F" w:rsidP="00E51F1F">
      <w:pPr>
        <w:rPr>
          <w:b/>
        </w:rPr>
      </w:pPr>
      <w:r w:rsidRPr="007107BE">
        <w:rPr>
          <w:b/>
        </w:rPr>
        <w:t>MINISTER'S RESPONSE:</w:t>
      </w:r>
    </w:p>
    <w:p w:rsidR="00E51F1F" w:rsidRDefault="00E51F1F" w:rsidP="00E51F1F">
      <w:r>
        <w:t xml:space="preserve">The Minister for Agriculture advised that the </w:t>
      </w:r>
      <w:r w:rsidRPr="00246312">
        <w:rPr>
          <w:i/>
        </w:rPr>
        <w:t>Farm Household Support Act 2014</w:t>
      </w:r>
      <w:r>
        <w:t xml:space="preserve"> would be amended 'as the opportunity arises' to specifically exclude the delegation of the secretary's general rule-making power.</w:t>
      </w:r>
    </w:p>
    <w:p w:rsidR="00E51F1F" w:rsidRDefault="00E51F1F" w:rsidP="00E51F1F">
      <w:pPr>
        <w:rPr>
          <w:b/>
        </w:rPr>
      </w:pPr>
      <w:r w:rsidRPr="00CB4A82">
        <w:rPr>
          <w:b/>
        </w:rPr>
        <w:t>COMMITTEE RESPONSE</w:t>
      </w:r>
      <w:r>
        <w:rPr>
          <w:b/>
        </w:rPr>
        <w:t>:</w:t>
      </w:r>
    </w:p>
    <w:p w:rsidR="00E51F1F" w:rsidRPr="00D60DE7" w:rsidRDefault="00E51F1F" w:rsidP="00E51F1F">
      <w:pPr>
        <w:spacing w:after="120"/>
        <w:rPr>
          <w:b/>
        </w:rPr>
      </w:pPr>
      <w:r w:rsidRPr="00D60DE7">
        <w:rPr>
          <w:b/>
        </w:rPr>
        <w:t xml:space="preserve">The committee thanks the minister for his response and undertaking to amend the </w:t>
      </w:r>
      <w:r w:rsidRPr="00D60DE7">
        <w:rPr>
          <w:b/>
          <w:i/>
        </w:rPr>
        <w:t>Farm Household Support Act 2014</w:t>
      </w:r>
      <w:r w:rsidRPr="00D60DE7">
        <w:rPr>
          <w:b/>
        </w:rPr>
        <w:t>.</w:t>
      </w:r>
    </w:p>
    <w:p w:rsidR="00E51F1F" w:rsidRDefault="00E51F1F" w:rsidP="00E51F1F">
      <w:pPr>
        <w:rPr>
          <w:b/>
        </w:rPr>
      </w:pPr>
      <w:r w:rsidRPr="00D60DE7">
        <w:rPr>
          <w:b/>
        </w:rPr>
        <w:t>The committee monitors the progress of undertakings, and would be grateful for the minister's advice once the amendments are made.</w:t>
      </w:r>
    </w:p>
    <w:p w:rsidR="00E51F1F" w:rsidRDefault="00E51F1F" w:rsidP="00E51F1F">
      <w:pPr>
        <w:rPr>
          <w:b/>
        </w:rPr>
        <w:sectPr w:rsidR="00E51F1F" w:rsidSect="00CC1513">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pgNumType w:start="3"/>
          <w:cols w:space="708"/>
          <w:titlePg/>
          <w:docGrid w:linePitch="360"/>
        </w:sectPr>
      </w:pPr>
    </w:p>
    <w:p w:rsidR="00E51F1F" w:rsidRDefault="00E51F1F" w:rsidP="00E51F1F">
      <w:pPr>
        <w:pStyle w:val="Heading1"/>
      </w:pPr>
      <w:r>
        <w:lastRenderedPageBreak/>
        <w:t>Appendix 1</w:t>
      </w:r>
    </w:p>
    <w:p w:rsidR="00E51F1F" w:rsidRDefault="00E51F1F" w:rsidP="00E51F1F">
      <w:pPr>
        <w:pStyle w:val="Heading2"/>
        <w:spacing w:after="600"/>
      </w:pPr>
      <w:r>
        <w:t>Guideline on consultation</w:t>
      </w:r>
    </w:p>
    <w:p w:rsidR="00E51F1F" w:rsidRDefault="00E51F1F" w:rsidP="00E51F1F">
      <w:pPr>
        <w:pBdr>
          <w:top w:val="single" w:sz="4" w:space="1" w:color="auto"/>
        </w:pBdr>
        <w:spacing w:after="0"/>
        <w:jc w:val="center"/>
        <w:rPr>
          <w:b/>
          <w:sz w:val="28"/>
          <w:szCs w:val="28"/>
        </w:rPr>
      </w:pPr>
    </w:p>
    <w:p w:rsidR="00E51F1F" w:rsidRPr="00AB1ED8" w:rsidRDefault="00E51F1F" w:rsidP="00E51F1F">
      <w:pPr>
        <w:pBdr>
          <w:top w:val="single" w:sz="4" w:space="1" w:color="auto"/>
        </w:pBdr>
        <w:jc w:val="center"/>
        <w:rPr>
          <w:b/>
          <w:sz w:val="28"/>
          <w:szCs w:val="28"/>
        </w:rPr>
      </w:pPr>
      <w:r w:rsidRPr="00AB1ED8">
        <w:rPr>
          <w:b/>
          <w:sz w:val="28"/>
          <w:szCs w:val="28"/>
        </w:rPr>
        <w:t>Standing Committee on Regulations and Ordinances</w:t>
      </w:r>
    </w:p>
    <w:p w:rsidR="00E51F1F" w:rsidRPr="00AB1ED8" w:rsidRDefault="00E51F1F" w:rsidP="00E51F1F">
      <w:pPr>
        <w:pBdr>
          <w:bottom w:val="single" w:sz="4" w:space="1" w:color="auto"/>
        </w:pBdr>
        <w:spacing w:after="0"/>
        <w:jc w:val="center"/>
        <w:rPr>
          <w:b/>
          <w:sz w:val="28"/>
          <w:szCs w:val="28"/>
        </w:rPr>
      </w:pPr>
      <w:r w:rsidRPr="00AB1ED8">
        <w:rPr>
          <w:b/>
          <w:sz w:val="28"/>
          <w:szCs w:val="28"/>
        </w:rPr>
        <w:t>Addressing consultation in explanatory statements</w:t>
      </w:r>
    </w:p>
    <w:p w:rsidR="00E51F1F" w:rsidRPr="00AB1ED8" w:rsidRDefault="00E51F1F" w:rsidP="00E51F1F">
      <w:pPr>
        <w:pBdr>
          <w:bottom w:val="single" w:sz="4" w:space="1" w:color="auto"/>
        </w:pBdr>
        <w:spacing w:after="0"/>
        <w:jc w:val="center"/>
        <w:rPr>
          <w:b/>
          <w:szCs w:val="26"/>
        </w:rPr>
      </w:pPr>
    </w:p>
    <w:p w:rsidR="00E51F1F" w:rsidRPr="00C22E53" w:rsidRDefault="00E51F1F" w:rsidP="00E51F1F">
      <w:pPr>
        <w:spacing w:before="360" w:after="60"/>
        <w:rPr>
          <w:b/>
          <w:i/>
          <w:szCs w:val="24"/>
        </w:rPr>
      </w:pPr>
      <w:r w:rsidRPr="00C22E53">
        <w:rPr>
          <w:b/>
          <w:i/>
          <w:szCs w:val="24"/>
        </w:rPr>
        <w:t>Role of the committee</w:t>
      </w:r>
    </w:p>
    <w:p w:rsidR="00E51F1F" w:rsidRPr="00C22E53" w:rsidRDefault="00E51F1F" w:rsidP="00E51F1F">
      <w:pPr>
        <w:rPr>
          <w:szCs w:val="24"/>
        </w:rPr>
      </w:pPr>
      <w:r w:rsidRPr="00C22E53">
        <w:rPr>
          <w:szCs w:val="24"/>
        </w:rPr>
        <w:t xml:space="preserve">The Standing Committee on Regulations and Ordinances (the committee) undertakes scrutiny of legislative instruments to ensure compliance with </w:t>
      </w:r>
      <w:hyperlink r:id="rId44" w:history="1">
        <w:r w:rsidRPr="00C22E53">
          <w:rPr>
            <w:rStyle w:val="Hyperlink"/>
            <w:szCs w:val="24"/>
          </w:rPr>
          <w:t>non-partisan principles</w:t>
        </w:r>
      </w:hyperlink>
      <w:r w:rsidRPr="00C22E53">
        <w:rPr>
          <w:szCs w:val="24"/>
        </w:rPr>
        <w:t xml:space="preserve"> of personal rights and parliamentary propriety.</w:t>
      </w:r>
    </w:p>
    <w:p w:rsidR="00E51F1F" w:rsidRPr="00C22E53" w:rsidRDefault="00E51F1F" w:rsidP="00E51F1F">
      <w:pPr>
        <w:spacing w:after="60"/>
        <w:rPr>
          <w:b/>
          <w:i/>
          <w:szCs w:val="24"/>
        </w:rPr>
      </w:pPr>
      <w:r w:rsidRPr="00C22E53">
        <w:rPr>
          <w:b/>
          <w:i/>
          <w:szCs w:val="24"/>
        </w:rPr>
        <w:t>Purpose of guideline</w:t>
      </w:r>
    </w:p>
    <w:p w:rsidR="00E51F1F" w:rsidRPr="00C22E53" w:rsidRDefault="00E51F1F" w:rsidP="00E51F1F">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E51F1F" w:rsidRPr="00C22E53" w:rsidRDefault="00E51F1F" w:rsidP="00E51F1F">
      <w:pPr>
        <w:rPr>
          <w:szCs w:val="24"/>
        </w:rPr>
      </w:pPr>
      <w:r w:rsidRPr="00C22E53">
        <w:rPr>
          <w:szCs w:val="24"/>
        </w:rPr>
        <w:t xml:space="preserve">The committee scrutinises instruments to ensure, inter alia, that they meet the technical requirements of the </w:t>
      </w:r>
      <w:hyperlink r:id="rId45"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E51F1F" w:rsidRPr="00C22E53" w:rsidRDefault="00E51F1F" w:rsidP="00E51F1F">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46" w:history="1">
        <w:r w:rsidRPr="00C22E53">
          <w:rPr>
            <w:rStyle w:val="Hyperlink"/>
            <w:szCs w:val="24"/>
          </w:rPr>
          <w:t>disallowance</w:t>
        </w:r>
      </w:hyperlink>
      <w:r w:rsidRPr="00C22E53">
        <w:rPr>
          <w:szCs w:val="24"/>
        </w:rPr>
        <w:t>.</w:t>
      </w:r>
    </w:p>
    <w:p w:rsidR="00E51F1F" w:rsidRPr="00C22E53" w:rsidRDefault="00E51F1F" w:rsidP="00E51F1F">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E51F1F" w:rsidRDefault="00E51F1F" w:rsidP="00E51F1F">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E51F1F" w:rsidRDefault="00E51F1F" w:rsidP="00E51F1F">
      <w:r>
        <w:br w:type="page"/>
      </w:r>
    </w:p>
    <w:p w:rsidR="00E51F1F" w:rsidRDefault="00E51F1F" w:rsidP="00E51F1F">
      <w:pPr>
        <w:spacing w:after="60"/>
        <w:rPr>
          <w:b/>
          <w:i/>
          <w:szCs w:val="24"/>
        </w:rPr>
      </w:pPr>
    </w:p>
    <w:p w:rsidR="00E51F1F" w:rsidRPr="00C22E53" w:rsidRDefault="00E51F1F" w:rsidP="00E51F1F">
      <w:pPr>
        <w:spacing w:after="60"/>
        <w:rPr>
          <w:b/>
          <w:szCs w:val="24"/>
        </w:rPr>
      </w:pPr>
      <w:r w:rsidRPr="00C22E53">
        <w:rPr>
          <w:b/>
          <w:i/>
          <w:szCs w:val="24"/>
        </w:rPr>
        <w:t>Requirements of the</w:t>
      </w:r>
      <w:r w:rsidRPr="00C22E53">
        <w:rPr>
          <w:b/>
          <w:szCs w:val="24"/>
        </w:rPr>
        <w:t xml:space="preserve"> Legislative Instruments Act 2003</w:t>
      </w:r>
    </w:p>
    <w:p w:rsidR="00E51F1F" w:rsidRPr="00C22E53" w:rsidRDefault="00E51F1F" w:rsidP="00E51F1F">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E51F1F" w:rsidRPr="00C22E53" w:rsidRDefault="00E51F1F" w:rsidP="00E51F1F">
      <w:pPr>
        <w:rPr>
          <w:szCs w:val="24"/>
        </w:rPr>
      </w:pPr>
      <w:r w:rsidRPr="00C22E53">
        <w:rPr>
          <w:szCs w:val="24"/>
        </w:rPr>
        <w:t>Section 18 of the Act, however, provides that in some circumstances such consultation may be 'unnecessary or inappropriate'.</w:t>
      </w:r>
    </w:p>
    <w:p w:rsidR="00E51F1F" w:rsidRPr="00C22E53" w:rsidRDefault="00E51F1F" w:rsidP="00E51F1F">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E51F1F" w:rsidRPr="00C22E53" w:rsidRDefault="00E51F1F" w:rsidP="00E51F1F">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E51F1F" w:rsidRPr="00C22E53" w:rsidRDefault="00E51F1F" w:rsidP="00E51F1F">
      <w:pPr>
        <w:rPr>
          <w:szCs w:val="24"/>
        </w:rPr>
      </w:pPr>
      <w:r w:rsidRPr="00C22E53">
        <w:rPr>
          <w:szCs w:val="24"/>
        </w:rPr>
        <w:t>If a RIS or similar assessment has been prepared, it should be provided to the committee along with the ES.</w:t>
      </w:r>
    </w:p>
    <w:p w:rsidR="00E51F1F" w:rsidRPr="00C22E53" w:rsidRDefault="00E51F1F" w:rsidP="00E51F1F">
      <w:pPr>
        <w:spacing w:after="60"/>
        <w:rPr>
          <w:b/>
          <w:i/>
          <w:szCs w:val="24"/>
        </w:rPr>
      </w:pPr>
      <w:r w:rsidRPr="00C22E53">
        <w:rPr>
          <w:b/>
          <w:i/>
          <w:szCs w:val="24"/>
        </w:rPr>
        <w:t>Describing the nature of consultation</w:t>
      </w:r>
    </w:p>
    <w:p w:rsidR="00E51F1F" w:rsidRPr="00C22E53" w:rsidRDefault="00E51F1F" w:rsidP="00E51F1F">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E51F1F" w:rsidRPr="00C22E53" w:rsidRDefault="00E51F1F" w:rsidP="00E51F1F">
      <w:pPr>
        <w:rPr>
          <w:szCs w:val="24"/>
        </w:rPr>
      </w:pPr>
      <w:r w:rsidRPr="00C22E53">
        <w:rPr>
          <w:szCs w:val="24"/>
        </w:rPr>
        <w:t>Where consultation has taken place, the ES to an instrument should set out the following information:</w:t>
      </w:r>
    </w:p>
    <w:p w:rsidR="00E51F1F" w:rsidRPr="00C22E53" w:rsidRDefault="00E51F1F" w:rsidP="00E51F1F">
      <w:pPr>
        <w:spacing w:after="60"/>
        <w:rPr>
          <w:i/>
          <w:szCs w:val="24"/>
        </w:rPr>
      </w:pPr>
      <w:r w:rsidRPr="00C22E53">
        <w:rPr>
          <w:i/>
          <w:szCs w:val="24"/>
        </w:rPr>
        <w:t>Method and purpose of consultation</w:t>
      </w:r>
    </w:p>
    <w:p w:rsidR="00E51F1F" w:rsidRPr="00C22E53" w:rsidRDefault="00E51F1F" w:rsidP="00E51F1F">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E51F1F" w:rsidRPr="00C22E53" w:rsidRDefault="00E51F1F" w:rsidP="00E51F1F">
      <w:pPr>
        <w:spacing w:after="60"/>
        <w:rPr>
          <w:i/>
          <w:szCs w:val="24"/>
        </w:rPr>
      </w:pPr>
      <w:r w:rsidRPr="00C22E53">
        <w:rPr>
          <w:i/>
          <w:szCs w:val="24"/>
        </w:rPr>
        <w:t>Bodies/groups/individuals consulted</w:t>
      </w:r>
    </w:p>
    <w:p w:rsidR="00E51F1F" w:rsidRPr="00C22E53" w:rsidRDefault="00E51F1F" w:rsidP="00E51F1F">
      <w:pPr>
        <w:rPr>
          <w:szCs w:val="24"/>
        </w:rPr>
      </w:pPr>
      <w:r w:rsidRPr="00C22E53">
        <w:rPr>
          <w:szCs w:val="24"/>
        </w:rPr>
        <w:t>An ES should specify the actual names of departments, bodies, agencies, groups et</w:t>
      </w:r>
      <w:r>
        <w:rPr>
          <w:szCs w:val="24"/>
        </w:rPr>
        <w:t> </w:t>
      </w:r>
      <w:r w:rsidRPr="00C22E53">
        <w:rPr>
          <w:szCs w:val="24"/>
        </w:rPr>
        <w:t>cetera that were consulted. An ES should avoid overly generalised statements such as 'Relevant stakeholders were consulted'.</w:t>
      </w:r>
    </w:p>
    <w:p w:rsidR="00E51F1F" w:rsidRDefault="00E51F1F" w:rsidP="00E51F1F">
      <w:pPr>
        <w:spacing w:after="60"/>
        <w:rPr>
          <w:i/>
          <w:szCs w:val="24"/>
        </w:rPr>
      </w:pPr>
    </w:p>
    <w:p w:rsidR="00E51F1F" w:rsidRPr="00C22E53" w:rsidRDefault="00E51F1F" w:rsidP="00E51F1F">
      <w:pPr>
        <w:rPr>
          <w:i/>
          <w:szCs w:val="24"/>
        </w:rPr>
      </w:pPr>
      <w:r w:rsidRPr="00C22E53">
        <w:rPr>
          <w:i/>
          <w:szCs w:val="24"/>
        </w:rPr>
        <w:lastRenderedPageBreak/>
        <w:t>Issues raised in consultations and outcomes</w:t>
      </w:r>
    </w:p>
    <w:p w:rsidR="00E51F1F" w:rsidRPr="00C22E53" w:rsidRDefault="00E51F1F" w:rsidP="00E51F1F">
      <w:pPr>
        <w:rPr>
          <w:szCs w:val="24"/>
        </w:rPr>
      </w:pPr>
      <w:r w:rsidRPr="00C22E53">
        <w:rPr>
          <w:szCs w:val="24"/>
        </w:rPr>
        <w:t xml:space="preserve">An ES should identify the nature of any issues raised in consultations, as well </w:t>
      </w:r>
      <w:r>
        <w:rPr>
          <w:szCs w:val="24"/>
        </w:rPr>
        <w:t xml:space="preserve">as </w:t>
      </w:r>
      <w:r w:rsidRPr="00C22E53">
        <w:rPr>
          <w:szCs w:val="24"/>
        </w:rPr>
        <w:t>the outcome of the consultation process. For example, an ES could state: 'A number of submissions raised concerns in relation to the effect of the instrument on retirees. An exemption for retirees was introduced in response to these concerns'.</w:t>
      </w:r>
    </w:p>
    <w:p w:rsidR="00E51F1F" w:rsidRPr="00C22E53" w:rsidRDefault="00E51F1F" w:rsidP="00E51F1F">
      <w:pPr>
        <w:spacing w:after="60"/>
        <w:rPr>
          <w:b/>
          <w:i/>
          <w:szCs w:val="24"/>
        </w:rPr>
      </w:pPr>
      <w:r w:rsidRPr="00C22E53">
        <w:rPr>
          <w:b/>
          <w:i/>
          <w:szCs w:val="24"/>
        </w:rPr>
        <w:t>Explaining why consultation has not been undertaken</w:t>
      </w:r>
    </w:p>
    <w:p w:rsidR="00E51F1F" w:rsidRPr="00C22E53" w:rsidRDefault="00E51F1F" w:rsidP="00E51F1F">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E51F1F" w:rsidRPr="00C22E53" w:rsidRDefault="00E51F1F" w:rsidP="00E51F1F">
      <w:pPr>
        <w:rPr>
          <w:szCs w:val="24"/>
        </w:rPr>
      </w:pPr>
      <w:r w:rsidRPr="00C22E53">
        <w:rPr>
          <w:szCs w:val="24"/>
        </w:rPr>
        <w:t>In explaining why no consultation has taken place, it is important to note the following considerations:</w:t>
      </w:r>
    </w:p>
    <w:p w:rsidR="00E51F1F" w:rsidRPr="00C22E53" w:rsidRDefault="00E51F1F" w:rsidP="00E51F1F">
      <w:pPr>
        <w:rPr>
          <w:i/>
          <w:szCs w:val="24"/>
        </w:rPr>
      </w:pPr>
      <w:r w:rsidRPr="00C22E53">
        <w:rPr>
          <w:i/>
          <w:szCs w:val="24"/>
        </w:rPr>
        <w:t>Specific examples listed in the Act</w:t>
      </w:r>
    </w:p>
    <w:p w:rsidR="00E51F1F" w:rsidRPr="00C22E53" w:rsidRDefault="00E51F1F" w:rsidP="00E51F1F">
      <w:pPr>
        <w:rPr>
          <w:szCs w:val="24"/>
        </w:rPr>
      </w:pPr>
      <w:r w:rsidRPr="00C22E53">
        <w:rPr>
          <w:szCs w:val="24"/>
        </w:rPr>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E51F1F" w:rsidRPr="00C22E53" w:rsidRDefault="00E51F1F" w:rsidP="00E51F1F">
      <w:pPr>
        <w:rPr>
          <w:i/>
          <w:szCs w:val="24"/>
        </w:rPr>
      </w:pPr>
      <w:r w:rsidRPr="00C22E53">
        <w:rPr>
          <w:i/>
          <w:szCs w:val="24"/>
        </w:rPr>
        <w:t>Timing of consultation</w:t>
      </w:r>
    </w:p>
    <w:p w:rsidR="00E51F1F" w:rsidRPr="00C22E53" w:rsidRDefault="00E51F1F" w:rsidP="00E51F1F">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E51F1F" w:rsidRPr="00C22E53" w:rsidRDefault="00E51F1F" w:rsidP="00E51F1F">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E51F1F" w:rsidRDefault="00E51F1F" w:rsidP="00E51F1F">
      <w:pPr>
        <w:spacing w:after="0"/>
        <w:jc w:val="left"/>
        <w:rPr>
          <w:b/>
          <w:i/>
          <w:szCs w:val="24"/>
        </w:rPr>
      </w:pPr>
      <w:r>
        <w:rPr>
          <w:b/>
          <w:i/>
          <w:szCs w:val="24"/>
        </w:rPr>
        <w:br w:type="page"/>
      </w:r>
    </w:p>
    <w:p w:rsidR="00E51F1F" w:rsidRDefault="00E51F1F" w:rsidP="00E51F1F">
      <w:pPr>
        <w:spacing w:after="60"/>
        <w:rPr>
          <w:b/>
          <w:i/>
          <w:szCs w:val="24"/>
        </w:rPr>
      </w:pPr>
    </w:p>
    <w:p w:rsidR="00E51F1F" w:rsidRPr="00C22E53" w:rsidRDefault="00E51F1F" w:rsidP="00E51F1F">
      <w:pPr>
        <w:spacing w:after="60"/>
        <w:rPr>
          <w:b/>
          <w:i/>
          <w:szCs w:val="24"/>
        </w:rPr>
      </w:pPr>
      <w:r w:rsidRPr="00C22E53">
        <w:rPr>
          <w:b/>
          <w:i/>
          <w:szCs w:val="24"/>
        </w:rPr>
        <w:t>Seeking further advice or information</w:t>
      </w:r>
    </w:p>
    <w:p w:rsidR="00E51F1F" w:rsidRPr="00C22E53" w:rsidRDefault="00E51F1F" w:rsidP="00E51F1F">
      <w:pPr>
        <w:rPr>
          <w:szCs w:val="24"/>
        </w:rPr>
      </w:pPr>
      <w:r w:rsidRPr="00C22E53">
        <w:rPr>
          <w:szCs w:val="24"/>
        </w:rPr>
        <w:t xml:space="preserve">Further information is available through the committee's website at </w:t>
      </w:r>
      <w:hyperlink r:id="rId47"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E51F1F" w:rsidRPr="00C22E53" w:rsidRDefault="00E51F1F" w:rsidP="00E51F1F">
      <w:pPr>
        <w:rPr>
          <w:szCs w:val="24"/>
        </w:rPr>
      </w:pPr>
    </w:p>
    <w:p w:rsidR="00E51F1F" w:rsidRPr="00C22E53" w:rsidRDefault="00E51F1F" w:rsidP="00E51F1F">
      <w:pPr>
        <w:spacing w:after="60"/>
        <w:rPr>
          <w:szCs w:val="24"/>
        </w:rPr>
      </w:pPr>
      <w:r w:rsidRPr="00C22E53">
        <w:rPr>
          <w:szCs w:val="24"/>
        </w:rPr>
        <w:t>Committee Secretary</w:t>
      </w:r>
    </w:p>
    <w:p w:rsidR="00E51F1F" w:rsidRPr="00C22E53" w:rsidRDefault="00E51F1F" w:rsidP="00E51F1F">
      <w:pPr>
        <w:spacing w:after="60"/>
        <w:rPr>
          <w:szCs w:val="24"/>
        </w:rPr>
      </w:pPr>
      <w:r w:rsidRPr="00C22E53">
        <w:rPr>
          <w:szCs w:val="24"/>
        </w:rPr>
        <w:t>Senate Regulations and Ordinances Committee</w:t>
      </w:r>
    </w:p>
    <w:p w:rsidR="00E51F1F" w:rsidRPr="00C22E53" w:rsidRDefault="00E51F1F" w:rsidP="00E51F1F">
      <w:pPr>
        <w:spacing w:after="60"/>
        <w:rPr>
          <w:szCs w:val="24"/>
        </w:rPr>
      </w:pPr>
      <w:r w:rsidRPr="00C22E53">
        <w:rPr>
          <w:szCs w:val="24"/>
        </w:rPr>
        <w:t>PO Box 6100</w:t>
      </w:r>
    </w:p>
    <w:p w:rsidR="00E51F1F" w:rsidRPr="00C22E53" w:rsidRDefault="00E51F1F" w:rsidP="00E51F1F">
      <w:pPr>
        <w:spacing w:after="60"/>
        <w:rPr>
          <w:szCs w:val="24"/>
        </w:rPr>
      </w:pPr>
      <w:r w:rsidRPr="00C22E53">
        <w:rPr>
          <w:szCs w:val="24"/>
        </w:rPr>
        <w:t>Parliament House</w:t>
      </w:r>
    </w:p>
    <w:p w:rsidR="00E51F1F" w:rsidRPr="00C22E53" w:rsidRDefault="00E51F1F" w:rsidP="00E51F1F">
      <w:pPr>
        <w:spacing w:after="60"/>
        <w:rPr>
          <w:szCs w:val="24"/>
        </w:rPr>
      </w:pPr>
      <w:r w:rsidRPr="00C22E53">
        <w:rPr>
          <w:szCs w:val="24"/>
        </w:rPr>
        <w:t>Canberra ACT 2600</w:t>
      </w:r>
    </w:p>
    <w:p w:rsidR="00E51F1F" w:rsidRPr="00C22E53" w:rsidRDefault="00E51F1F" w:rsidP="00E51F1F">
      <w:pPr>
        <w:spacing w:after="0"/>
        <w:rPr>
          <w:szCs w:val="24"/>
        </w:rPr>
      </w:pPr>
      <w:r w:rsidRPr="00C22E53">
        <w:rPr>
          <w:szCs w:val="24"/>
        </w:rPr>
        <w:t>Australia</w:t>
      </w:r>
    </w:p>
    <w:p w:rsidR="00E51F1F" w:rsidRPr="00C22E53" w:rsidRDefault="00E51F1F" w:rsidP="00E51F1F">
      <w:pPr>
        <w:rPr>
          <w:szCs w:val="24"/>
        </w:rPr>
      </w:pPr>
    </w:p>
    <w:p w:rsidR="00E51F1F" w:rsidRPr="00C22E53" w:rsidRDefault="00E51F1F" w:rsidP="00E51F1F">
      <w:pPr>
        <w:spacing w:after="60"/>
        <w:rPr>
          <w:szCs w:val="24"/>
        </w:rPr>
      </w:pPr>
      <w:r w:rsidRPr="00C22E53">
        <w:rPr>
          <w:szCs w:val="24"/>
        </w:rPr>
        <w:t xml:space="preserve">Phone: +61 2 6277 3066 </w:t>
      </w:r>
    </w:p>
    <w:p w:rsidR="00E51F1F" w:rsidRPr="00C22E53" w:rsidRDefault="00E51F1F" w:rsidP="00E51F1F">
      <w:pPr>
        <w:spacing w:after="60"/>
        <w:rPr>
          <w:szCs w:val="24"/>
        </w:rPr>
      </w:pPr>
      <w:r w:rsidRPr="00C22E53">
        <w:rPr>
          <w:szCs w:val="24"/>
        </w:rPr>
        <w:t xml:space="preserve">Fax: +61 2 6277 5881 </w:t>
      </w:r>
    </w:p>
    <w:p w:rsidR="00E51F1F" w:rsidRPr="00C22E53" w:rsidRDefault="00E51F1F" w:rsidP="00E51F1F">
      <w:pPr>
        <w:spacing w:after="0"/>
        <w:rPr>
          <w:szCs w:val="24"/>
        </w:rPr>
      </w:pPr>
      <w:r w:rsidRPr="00C22E53">
        <w:rPr>
          <w:szCs w:val="24"/>
        </w:rPr>
        <w:t xml:space="preserve">Email: </w:t>
      </w:r>
      <w:hyperlink r:id="rId48" w:history="1">
        <w:r w:rsidRPr="00C22E53">
          <w:rPr>
            <w:rStyle w:val="Hyperlink"/>
            <w:szCs w:val="24"/>
          </w:rPr>
          <w:t>RegOrds.Sen@aph.gov.au</w:t>
        </w:r>
      </w:hyperlink>
    </w:p>
    <w:p w:rsidR="00E51F1F" w:rsidRPr="00965B14" w:rsidRDefault="00E51F1F" w:rsidP="00E51F1F">
      <w:pPr>
        <w:jc w:val="left"/>
      </w:pPr>
    </w:p>
    <w:p w:rsidR="00E51F1F" w:rsidRPr="00E51F1F" w:rsidRDefault="00E51F1F" w:rsidP="00E51F1F">
      <w:pPr>
        <w:rPr>
          <w:b/>
        </w:rPr>
      </w:pPr>
      <w:bookmarkStart w:id="18" w:name="_GoBack"/>
      <w:bookmarkEnd w:id="18"/>
    </w:p>
    <w:sectPr w:rsidR="00E51F1F" w:rsidRPr="00E51F1F" w:rsidSect="003A7190">
      <w:headerReference w:type="even" r:id="rId49"/>
      <w:headerReference w:type="default" r:id="rId50"/>
      <w:footerReference w:type="even" r:id="rId51"/>
      <w:footerReference w:type="default" r:id="rId52"/>
      <w:headerReference w:type="first" r:id="rId53"/>
      <w:footerReference w:type="first" r:id="rId54"/>
      <w:pgSz w:w="11906" w:h="16838" w:code="9"/>
      <w:pgMar w:top="1440" w:right="1440" w:bottom="1202" w:left="1440" w:header="1134" w:footer="720" w:gutter="0"/>
      <w:pgNumType w:start="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8E" w:rsidRDefault="00D2688E">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1F" w:rsidRDefault="00E51F1F">
    <w:pPr>
      <w:pStyle w:val="Footer"/>
      <w:jc w:val="center"/>
    </w:pPr>
  </w:p>
  <w:p w:rsidR="00E51F1F" w:rsidRDefault="00E51F1F">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3A5592" w:rsidRDefault="00E51F1F">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E51F1F">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3A5592" w:rsidRDefault="00E51F1F">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E51F1F">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E51F1F">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E51F1F">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E51F1F">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E51F1F">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E51F1F">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E51F1F">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E51F1F">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1F" w:rsidRDefault="00E51F1F">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E51F1F" w:rsidRDefault="00E51F1F">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E51F1F" w:rsidRDefault="00E51F1F">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1F" w:rsidRDefault="00E51F1F">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E51F1F" w:rsidRPr="00F61935" w:rsidRDefault="00E51F1F" w:rsidP="00E51F1F">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t>
      </w:r>
      <w:hyperlink r:id="rId1" w:history="1">
        <w:r w:rsidRPr="000F1016">
          <w:rPr>
            <w:rStyle w:val="Hyperlink"/>
          </w:rPr>
          <w:t>www.comlaw.gov.au</w:t>
        </w:r>
      </w:hyperlink>
      <w:r>
        <w:t xml:space="preserve"> </w:t>
      </w:r>
    </w:p>
  </w:footnote>
  <w:footnote w:id="2">
    <w:p w:rsidR="00E51F1F" w:rsidRPr="00ED4CC3" w:rsidRDefault="00E51F1F" w:rsidP="00E51F1F">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E51F1F" w:rsidRPr="000B044A" w:rsidRDefault="00E51F1F" w:rsidP="00E51F1F">
      <w:pPr>
        <w:pStyle w:val="FootnoteText"/>
        <w:spacing w:after="120"/>
      </w:pPr>
      <w:r w:rsidRPr="000B044A">
        <w:rPr>
          <w:rStyle w:val="FootnoteReference"/>
          <w:vertAlign w:val="baseline"/>
        </w:rPr>
        <w:footnoteRef/>
      </w:r>
      <w:r w:rsidRPr="000B044A">
        <w:t xml:space="preserve"> </w:t>
      </w:r>
      <w:r>
        <w:tab/>
        <w:t xml:space="preserve">Senate Disallowable Instruments List, available at </w:t>
      </w:r>
      <w:hyperlink r:id="rId2" w:history="1">
        <w:r w:rsidRPr="000F1016">
          <w:rPr>
            <w:rStyle w:val="Hyperlink"/>
          </w:rPr>
          <w:t>http://www.aph.gov.au/Parliamentary_Business/Bills_Legislation/leginstruments/Senate_Disallowable_Instruments_List</w:t>
        </w:r>
      </w:hyperlink>
      <w:r>
        <w:t xml:space="preserve"> </w:t>
      </w:r>
    </w:p>
  </w:footnote>
  <w:footnote w:id="4">
    <w:p w:rsidR="00E51F1F" w:rsidRPr="00E3747F" w:rsidRDefault="00E51F1F" w:rsidP="00E51F1F">
      <w:pPr>
        <w:pStyle w:val="FootnoteText"/>
        <w:spacing w:after="120"/>
      </w:pPr>
      <w:r w:rsidRPr="00E3747F">
        <w:rPr>
          <w:rStyle w:val="FootnoteReference"/>
          <w:vertAlign w:val="baseline"/>
        </w:rPr>
        <w:footnoteRef/>
      </w:r>
      <w:r w:rsidRPr="00E3747F">
        <w:t xml:space="preserve"> </w:t>
      </w:r>
      <w:r>
        <w:tab/>
        <w:t xml:space="preserve">'Last </w:t>
      </w:r>
      <w:r w:rsidRPr="00E3747F">
        <w:t>day to disallow' refers to the last day on which notice may be given of a motion for disallowance in the Senate.</w:t>
      </w:r>
    </w:p>
  </w:footnote>
  <w:footnote w:id="5">
    <w:p w:rsidR="00E51F1F" w:rsidRPr="00E35D4F" w:rsidRDefault="00E51F1F" w:rsidP="00E51F1F">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6">
    <w:p w:rsidR="00E51F1F" w:rsidRPr="00651B7E" w:rsidRDefault="00E51F1F" w:rsidP="00E51F1F">
      <w:pPr>
        <w:pStyle w:val="FootnoteText"/>
        <w:spacing w:after="120"/>
      </w:pPr>
      <w:r w:rsidRPr="00651B7E">
        <w:rPr>
          <w:rStyle w:val="FootnoteReference"/>
          <w:vertAlign w:val="baseline"/>
        </w:rPr>
        <w:footnoteRef/>
      </w:r>
      <w:r w:rsidRPr="00651B7E">
        <w:t xml:space="preserve"> </w:t>
      </w:r>
      <w:r>
        <w:tab/>
      </w:r>
      <w:r w:rsidRPr="00D613BB">
        <w:t xml:space="preserve">See Senate Standing Committee on Regulations and Ordinances, </w:t>
      </w:r>
      <w:r w:rsidRPr="00D613BB">
        <w:rPr>
          <w:i/>
        </w:rPr>
        <w:t>Delegated legislation monitor</w:t>
      </w:r>
      <w:r>
        <w:t xml:space="preserve"> No. 6 of 2014, 18 June 2014, </w:t>
      </w:r>
      <w:r w:rsidRPr="00D613BB">
        <w:t>Australian Jobs (Australian Industry Participation) Rule 2014 [F2014L00125]</w:t>
      </w:r>
      <w:r>
        <w:t xml:space="preserve">,  pp 5–22, available at </w:t>
      </w:r>
      <w:hyperlink r:id="rId3" w:history="1">
        <w:r w:rsidRPr="00496D34">
          <w:rPr>
            <w:rStyle w:val="Hyperlink"/>
          </w:rPr>
          <w:t>http://www.aph.gov.au/Parliamentary_Business/Committees/Senate/Regulations_and_Ordinances/Monitor</w:t>
        </w:r>
      </w:hyperlink>
      <w:r>
        <w:t xml:space="preserve"> </w:t>
      </w:r>
    </w:p>
  </w:footnote>
  <w:footnote w:id="7">
    <w:p w:rsidR="00E51F1F" w:rsidRPr="006F4C97" w:rsidRDefault="00E51F1F" w:rsidP="00E51F1F">
      <w:pPr>
        <w:pStyle w:val="FootnoteText"/>
        <w:spacing w:after="120"/>
      </w:pPr>
      <w:r w:rsidRPr="00D613BB">
        <w:rPr>
          <w:rStyle w:val="FootnoteReference"/>
          <w:vertAlign w:val="baseline"/>
        </w:rPr>
        <w:footnoteRef/>
      </w:r>
      <w:r w:rsidRPr="00D613BB">
        <w:t xml:space="preserve"> </w:t>
      </w:r>
      <w:r w:rsidRPr="00D613BB">
        <w:tab/>
        <w:t xml:space="preserve">See Senate Standing Committee on Regulations and Ordinances, </w:t>
      </w:r>
      <w:r w:rsidRPr="00D613BB">
        <w:rPr>
          <w:i/>
        </w:rPr>
        <w:t>Delegated legislation monitor</w:t>
      </w:r>
      <w:r>
        <w:t xml:space="preserve"> No. 6 of 2014, 18 June 2014, </w:t>
      </w:r>
      <w:r w:rsidRPr="00D613BB">
        <w:t>Australian Jobs (Australian Industry Participation) Rule 2014 [F2014L00125]</w:t>
      </w:r>
      <w:r>
        <w:t xml:space="preserve">,  pp 5–22, available at </w:t>
      </w:r>
      <w:hyperlink r:id="rId4" w:history="1">
        <w:r w:rsidRPr="00496D34">
          <w:rPr>
            <w:rStyle w:val="Hyperlink"/>
          </w:rPr>
          <w:t>http://www.aph.gov.au/Parliamentary_Business/Committees/Senate/Regulations_and_Ordinances/Monitor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E51F1F">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ix</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E51F1F">
    <w:pPr>
      <w:pStyle w:val="Header"/>
      <w:tabs>
        <w:tab w:val="clear" w:pos="8306"/>
        <w:tab w:val="right" w:pos="9000"/>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Pr="00F710D5" w:rsidRDefault="00E51F1F">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E51F1F">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E51F1F">
    <w:pPr>
      <w:pStyle w:val="Header"/>
      <w:tabs>
        <w:tab w:val="clear" w:pos="8306"/>
        <w:tab w:val="right" w:pos="9000"/>
      </w:tabs>
    </w:pPr>
    <w:r>
      <w:tab/>
    </w:r>
    <w:r>
      <w:t>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E51F1F">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14</w:t>
    </w:r>
    <w:r>
      <w:rPr>
        <w:noProof/>
      </w:rPr>
      <w:fldChar w:fldCharType="end"/>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E51F1F">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13</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E51F1F">
    <w:pPr>
      <w:pStyle w:val="Header"/>
      <w:tabs>
        <w:tab w:val="clear" w:pos="8306"/>
        <w:tab w:val="right" w:pos="9000"/>
      </w:tabs>
    </w:pPr>
    <w:r>
      <w:tab/>
    </w:r>
    <w:r>
      <w:t>3</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E51F1F">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18</w:t>
    </w:r>
    <w:r>
      <w:rPr>
        <w:noProof/>
      </w:rPr>
      <w:fldChar w:fldCharType="end"/>
    </w:r>
    <w:r w:rsidR="00C77954">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E51F1F">
      <w:t>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E51F1F">
      <w:fldChar w:fldCharType="begin"/>
    </w:r>
    <w:r w:rsidR="00E51F1F">
      <w:instrText xml:space="preserve"> PAGE </w:instrText>
    </w:r>
    <w:r w:rsidR="00E51F1F">
      <w:fldChar w:fldCharType="separate"/>
    </w:r>
    <w:r w:rsidR="00E51F1F">
      <w:rPr>
        <w:noProof/>
      </w:rPr>
      <w:t>v</w:t>
    </w:r>
    <w:r w:rsidR="00E51F1F">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1F" w:rsidRPr="00F710D5" w:rsidRDefault="00E51F1F">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vi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1F" w:rsidRDefault="00E51F1F">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F710D5" w:rsidRDefault="00E51F1F" w:rsidP="007E6842">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7F44F1A"/>
    <w:multiLevelType w:val="multilevel"/>
    <w:tmpl w:val="DAD23304"/>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nsid w:val="19B0295D"/>
    <w:multiLevelType w:val="hybridMultilevel"/>
    <w:tmpl w:val="9FE2297E"/>
    <w:lvl w:ilvl="0" w:tplc="8946DC44">
      <w:start w:val="1"/>
      <w:numFmt w:val="decimal"/>
      <w:lvlText w:val="(%1)"/>
      <w:lvlJc w:val="left"/>
      <w:pPr>
        <w:ind w:left="1271" w:hanging="4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3">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0353693"/>
    <w:multiLevelType w:val="multilevel"/>
    <w:tmpl w:val="A09CFC84"/>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8">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9">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1">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61E550B"/>
    <w:multiLevelType w:val="hybridMultilevel"/>
    <w:tmpl w:val="BE16F616"/>
    <w:lvl w:ilvl="0" w:tplc="79B480DA">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3">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nsid w:val="403C0DD7"/>
    <w:multiLevelType w:val="hybridMultilevel"/>
    <w:tmpl w:val="64D26208"/>
    <w:lvl w:ilvl="0" w:tplc="FC4232E8">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C3B1BC7"/>
    <w:multiLevelType w:val="hybridMultilevel"/>
    <w:tmpl w:val="B610F1C2"/>
    <w:lvl w:ilvl="0" w:tplc="1FA67CB8">
      <w:start w:val="1"/>
      <w:numFmt w:val="decimal"/>
      <w:lvlText w:val="(%1)"/>
      <w:lvlJc w:val="left"/>
      <w:pPr>
        <w:ind w:left="1211" w:hanging="360"/>
      </w:pPr>
      <w:rPr>
        <w:rFonts w:hint="default"/>
      </w:rPr>
    </w:lvl>
    <w:lvl w:ilvl="1" w:tplc="44D037E2">
      <w:start w:val="1"/>
      <w:numFmt w:val="lowerLetter"/>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5C4C2762"/>
    <w:multiLevelType w:val="hybridMultilevel"/>
    <w:tmpl w:val="F17CDAD0"/>
    <w:lvl w:ilvl="0" w:tplc="2CECADDE">
      <w:start w:val="1"/>
      <w:numFmt w:val="decimal"/>
      <w:lvlText w:val="(%1)"/>
      <w:lvlJc w:val="left"/>
      <w:pPr>
        <w:ind w:left="1211" w:hanging="360"/>
      </w:pPr>
      <w:rPr>
        <w:rFonts w:hint="default"/>
      </w:rPr>
    </w:lvl>
    <w:lvl w:ilvl="1" w:tplc="8048D81A">
      <w:numFmt w:val="bullet"/>
      <w:lvlText w:val="•"/>
      <w:lvlJc w:val="left"/>
      <w:pPr>
        <w:ind w:left="2291" w:hanging="720"/>
      </w:pPr>
      <w:rPr>
        <w:rFonts w:ascii="Times New Roman" w:eastAsia="Times New Roman" w:hAnsi="Times New Roman" w:cs="Times New Roman" w:hint="default"/>
      </w:rPr>
    </w:lvl>
    <w:lvl w:ilvl="2" w:tplc="0B484DEA">
      <w:start w:val="1"/>
      <w:numFmt w:val="lowerLetter"/>
      <w:lvlText w:val="(%3)"/>
      <w:lvlJc w:val="left"/>
      <w:pPr>
        <w:ind w:left="2831" w:hanging="360"/>
      </w:pPr>
      <w:rPr>
        <w:rFonts w:hint="default"/>
      </w:r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3D2471F"/>
    <w:multiLevelType w:val="multilevel"/>
    <w:tmpl w:val="FDC2894E"/>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1">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2">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3">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9"/>
  </w:num>
  <w:num w:numId="2">
    <w:abstractNumId w:val="14"/>
  </w:num>
  <w:num w:numId="3">
    <w:abstractNumId w:val="16"/>
  </w:num>
  <w:num w:numId="4">
    <w:abstractNumId w:val="17"/>
  </w:num>
  <w:num w:numId="5">
    <w:abstractNumId w:val="20"/>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13"/>
  </w:num>
  <w:num w:numId="19">
    <w:abstractNumId w:val="32"/>
  </w:num>
  <w:num w:numId="20">
    <w:abstractNumId w:val="10"/>
  </w:num>
  <w:num w:numId="21">
    <w:abstractNumId w:val="30"/>
  </w:num>
  <w:num w:numId="22">
    <w:abstractNumId w:val="21"/>
  </w:num>
  <w:num w:numId="23">
    <w:abstractNumId w:val="31"/>
  </w:num>
  <w:num w:numId="24">
    <w:abstractNumId w:val="23"/>
  </w:num>
  <w:num w:numId="25">
    <w:abstractNumId w:val="24"/>
  </w:num>
  <w:num w:numId="26">
    <w:abstractNumId w:val="30"/>
  </w:num>
  <w:num w:numId="27">
    <w:abstractNumId w:val="30"/>
  </w:num>
  <w:num w:numId="28">
    <w:abstractNumId w:val="33"/>
  </w:num>
  <w:num w:numId="29">
    <w:abstractNumId w:val="33"/>
  </w:num>
  <w:num w:numId="30">
    <w:abstractNumId w:val="33"/>
  </w:num>
  <w:num w:numId="31">
    <w:abstractNumId w:val="30"/>
  </w:num>
  <w:num w:numId="32">
    <w:abstractNumId w:val="30"/>
  </w:num>
  <w:num w:numId="33">
    <w:abstractNumId w:val="19"/>
  </w:num>
  <w:num w:numId="34">
    <w:abstractNumId w:val="15"/>
  </w:num>
  <w:num w:numId="35">
    <w:abstractNumId w:val="11"/>
  </w:num>
  <w:num w:numId="36">
    <w:abstractNumId w:val="12"/>
  </w:num>
  <w:num w:numId="37">
    <w:abstractNumId w:val="27"/>
  </w:num>
  <w:num w:numId="38">
    <w:abstractNumId w:val="25"/>
  </w:num>
  <w:num w:numId="39">
    <w:abstractNumId w:val="28"/>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96ADC"/>
    <w:rsid w:val="00312055"/>
    <w:rsid w:val="003168FA"/>
    <w:rsid w:val="00325264"/>
    <w:rsid w:val="00333EC9"/>
    <w:rsid w:val="00350769"/>
    <w:rsid w:val="00372BED"/>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A5729"/>
    <w:rsid w:val="00A31357"/>
    <w:rsid w:val="00A6738A"/>
    <w:rsid w:val="00A85B09"/>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51F1F"/>
    <w:rsid w:val="00EB5055"/>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E51F1F"/>
    <w:pPr>
      <w:keepNext/>
      <w:numPr>
        <w:ilvl w:val="3"/>
        <w:numId w:val="32"/>
      </w:numPr>
      <w:outlineLvl w:val="3"/>
    </w:pPr>
    <w:rPr>
      <w:b/>
      <w:i/>
    </w:rPr>
  </w:style>
  <w:style w:type="paragraph" w:styleId="Heading5">
    <w:name w:val="heading 5"/>
    <w:basedOn w:val="Normal"/>
    <w:next w:val="Normal"/>
    <w:qFormat/>
    <w:rsid w:val="00E51F1F"/>
    <w:pPr>
      <w:keepNext/>
      <w:numPr>
        <w:ilvl w:val="4"/>
        <w:numId w:val="32"/>
      </w:numPr>
      <w:jc w:val="left"/>
      <w:outlineLvl w:val="4"/>
    </w:pPr>
    <w:rPr>
      <w:i/>
    </w:rPr>
  </w:style>
  <w:style w:type="paragraph" w:styleId="Heading6">
    <w:name w:val="heading 6"/>
    <w:basedOn w:val="Normal"/>
    <w:next w:val="Normal"/>
    <w:qFormat/>
    <w:locked/>
    <w:rsid w:val="00E51F1F"/>
    <w:pPr>
      <w:numPr>
        <w:ilvl w:val="5"/>
        <w:numId w:val="32"/>
      </w:numPr>
      <w:spacing w:before="240" w:after="60"/>
      <w:outlineLvl w:val="5"/>
    </w:pPr>
    <w:rPr>
      <w:i/>
      <w:sz w:val="22"/>
    </w:rPr>
  </w:style>
  <w:style w:type="paragraph" w:styleId="Heading7">
    <w:name w:val="heading 7"/>
    <w:basedOn w:val="Normal"/>
    <w:next w:val="Normal"/>
    <w:qFormat/>
    <w:locked/>
    <w:rsid w:val="00E51F1F"/>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E51F1F"/>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E51F1F"/>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E51F1F"/>
    <w:pPr>
      <w:numPr>
        <w:numId w:val="32"/>
      </w:numPr>
    </w:pPr>
  </w:style>
  <w:style w:type="paragraph" w:customStyle="1" w:styleId="Level2">
    <w:name w:val="Level2"/>
    <w:basedOn w:val="Normal"/>
    <w:rsid w:val="00E51F1F"/>
    <w:pPr>
      <w:numPr>
        <w:ilvl w:val="1"/>
        <w:numId w:val="32"/>
      </w:numPr>
    </w:pPr>
  </w:style>
  <w:style w:type="paragraph" w:customStyle="1" w:styleId="Level3">
    <w:name w:val="Level3"/>
    <w:basedOn w:val="Normal"/>
    <w:link w:val="Level3Char"/>
    <w:rsid w:val="00E51F1F"/>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E51F1F"/>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E51F1F"/>
    <w:rPr>
      <w:rFonts w:ascii="Times New Roman" w:hAnsi="Times New Roman"/>
      <w:b/>
      <w:kern w:val="28"/>
      <w:sz w:val="40"/>
      <w:lang w:eastAsia="en-US"/>
    </w:rPr>
  </w:style>
  <w:style w:type="character" w:customStyle="1" w:styleId="HeaderChar">
    <w:name w:val="Header Char"/>
    <w:basedOn w:val="DefaultParagraphFont"/>
    <w:link w:val="Header"/>
    <w:semiHidden/>
    <w:rsid w:val="00E51F1F"/>
    <w:rPr>
      <w:rFonts w:ascii="Times New Roman" w:hAnsi="Times New Roman"/>
      <w:sz w:val="22"/>
      <w:lang w:eastAsia="en-US"/>
    </w:rPr>
  </w:style>
  <w:style w:type="paragraph" w:customStyle="1" w:styleId="JNP2">
    <w:name w:val="JNP2"/>
    <w:basedOn w:val="Normal"/>
    <w:rsid w:val="00E51F1F"/>
    <w:pPr>
      <w:spacing w:after="0"/>
      <w:ind w:left="2268"/>
    </w:pPr>
    <w:rPr>
      <w:lang w:val="en-US"/>
    </w:rPr>
  </w:style>
  <w:style w:type="character" w:customStyle="1" w:styleId="FootnoteTextChar">
    <w:name w:val="Footnote Text Char"/>
    <w:basedOn w:val="DefaultParagraphFont"/>
    <w:link w:val="FootnoteText"/>
    <w:rsid w:val="00E51F1F"/>
    <w:rPr>
      <w:sz w:val="22"/>
      <w:lang w:eastAsia="en-US"/>
    </w:rPr>
  </w:style>
  <w:style w:type="character" w:customStyle="1" w:styleId="QuoteChar">
    <w:name w:val="Quote Char"/>
    <w:basedOn w:val="DefaultParagraphFont"/>
    <w:link w:val="Quote"/>
    <w:rsid w:val="00E51F1F"/>
    <w:rPr>
      <w:rFonts w:ascii="Times New Roman" w:hAnsi="Times New Roman"/>
      <w:sz w:val="24"/>
      <w:lang w:eastAsia="en-US"/>
    </w:rPr>
  </w:style>
  <w:style w:type="character" w:customStyle="1" w:styleId="Heading2Char">
    <w:name w:val="Heading 2 Char"/>
    <w:basedOn w:val="DefaultParagraphFont"/>
    <w:link w:val="Heading2"/>
    <w:rsid w:val="00E51F1F"/>
    <w:rPr>
      <w:rFonts w:ascii="Times New Roman" w:hAnsi="Times New Roman"/>
      <w:b/>
      <w:sz w:val="36"/>
      <w:lang w:eastAsia="en-US"/>
    </w:rPr>
  </w:style>
  <w:style w:type="character" w:customStyle="1" w:styleId="Heading3Char">
    <w:name w:val="Heading 3 Char"/>
    <w:basedOn w:val="DefaultParagraphFont"/>
    <w:link w:val="Heading3"/>
    <w:rsid w:val="00E51F1F"/>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E51F1F"/>
    <w:pPr>
      <w:keepNext/>
      <w:numPr>
        <w:ilvl w:val="3"/>
        <w:numId w:val="32"/>
      </w:numPr>
      <w:outlineLvl w:val="3"/>
    </w:pPr>
    <w:rPr>
      <w:b/>
      <w:i/>
    </w:rPr>
  </w:style>
  <w:style w:type="paragraph" w:styleId="Heading5">
    <w:name w:val="heading 5"/>
    <w:basedOn w:val="Normal"/>
    <w:next w:val="Normal"/>
    <w:qFormat/>
    <w:rsid w:val="00E51F1F"/>
    <w:pPr>
      <w:keepNext/>
      <w:numPr>
        <w:ilvl w:val="4"/>
        <w:numId w:val="32"/>
      </w:numPr>
      <w:jc w:val="left"/>
      <w:outlineLvl w:val="4"/>
    </w:pPr>
    <w:rPr>
      <w:i/>
    </w:rPr>
  </w:style>
  <w:style w:type="paragraph" w:styleId="Heading6">
    <w:name w:val="heading 6"/>
    <w:basedOn w:val="Normal"/>
    <w:next w:val="Normal"/>
    <w:qFormat/>
    <w:locked/>
    <w:rsid w:val="00E51F1F"/>
    <w:pPr>
      <w:numPr>
        <w:ilvl w:val="5"/>
        <w:numId w:val="32"/>
      </w:numPr>
      <w:spacing w:before="240" w:after="60"/>
      <w:outlineLvl w:val="5"/>
    </w:pPr>
    <w:rPr>
      <w:i/>
      <w:sz w:val="22"/>
    </w:rPr>
  </w:style>
  <w:style w:type="paragraph" w:styleId="Heading7">
    <w:name w:val="heading 7"/>
    <w:basedOn w:val="Normal"/>
    <w:next w:val="Normal"/>
    <w:qFormat/>
    <w:locked/>
    <w:rsid w:val="00E51F1F"/>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E51F1F"/>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E51F1F"/>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E51F1F"/>
    <w:pPr>
      <w:numPr>
        <w:numId w:val="32"/>
      </w:numPr>
    </w:pPr>
  </w:style>
  <w:style w:type="paragraph" w:customStyle="1" w:styleId="Level2">
    <w:name w:val="Level2"/>
    <w:basedOn w:val="Normal"/>
    <w:rsid w:val="00E51F1F"/>
    <w:pPr>
      <w:numPr>
        <w:ilvl w:val="1"/>
        <w:numId w:val="32"/>
      </w:numPr>
    </w:pPr>
  </w:style>
  <w:style w:type="paragraph" w:customStyle="1" w:styleId="Level3">
    <w:name w:val="Level3"/>
    <w:basedOn w:val="Normal"/>
    <w:link w:val="Level3Char"/>
    <w:rsid w:val="00E51F1F"/>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E51F1F"/>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E51F1F"/>
    <w:rPr>
      <w:rFonts w:ascii="Times New Roman" w:hAnsi="Times New Roman"/>
      <w:b/>
      <w:kern w:val="28"/>
      <w:sz w:val="40"/>
      <w:lang w:eastAsia="en-US"/>
    </w:rPr>
  </w:style>
  <w:style w:type="character" w:customStyle="1" w:styleId="HeaderChar">
    <w:name w:val="Header Char"/>
    <w:basedOn w:val="DefaultParagraphFont"/>
    <w:link w:val="Header"/>
    <w:semiHidden/>
    <w:rsid w:val="00E51F1F"/>
    <w:rPr>
      <w:rFonts w:ascii="Times New Roman" w:hAnsi="Times New Roman"/>
      <w:sz w:val="22"/>
      <w:lang w:eastAsia="en-US"/>
    </w:rPr>
  </w:style>
  <w:style w:type="paragraph" w:customStyle="1" w:styleId="JNP2">
    <w:name w:val="JNP2"/>
    <w:basedOn w:val="Normal"/>
    <w:rsid w:val="00E51F1F"/>
    <w:pPr>
      <w:spacing w:after="0"/>
      <w:ind w:left="2268"/>
    </w:pPr>
    <w:rPr>
      <w:lang w:val="en-US"/>
    </w:rPr>
  </w:style>
  <w:style w:type="character" w:customStyle="1" w:styleId="FootnoteTextChar">
    <w:name w:val="Footnote Text Char"/>
    <w:basedOn w:val="DefaultParagraphFont"/>
    <w:link w:val="FootnoteText"/>
    <w:rsid w:val="00E51F1F"/>
    <w:rPr>
      <w:sz w:val="22"/>
      <w:lang w:eastAsia="en-US"/>
    </w:rPr>
  </w:style>
  <w:style w:type="character" w:customStyle="1" w:styleId="QuoteChar">
    <w:name w:val="Quote Char"/>
    <w:basedOn w:val="DefaultParagraphFont"/>
    <w:link w:val="Quote"/>
    <w:rsid w:val="00E51F1F"/>
    <w:rPr>
      <w:rFonts w:ascii="Times New Roman" w:hAnsi="Times New Roman"/>
      <w:sz w:val="24"/>
      <w:lang w:eastAsia="en-US"/>
    </w:rPr>
  </w:style>
  <w:style w:type="character" w:customStyle="1" w:styleId="Heading2Char">
    <w:name w:val="Heading 2 Char"/>
    <w:basedOn w:val="DefaultParagraphFont"/>
    <w:link w:val="Heading2"/>
    <w:rsid w:val="00E51F1F"/>
    <w:rPr>
      <w:rFonts w:ascii="Times New Roman" w:hAnsi="Times New Roman"/>
      <w:b/>
      <w:sz w:val="36"/>
      <w:lang w:eastAsia="en-US"/>
    </w:rPr>
  </w:style>
  <w:style w:type="character" w:customStyle="1" w:styleId="Heading3Char">
    <w:name w:val="Heading 3 Char"/>
    <w:basedOn w:val="DefaultParagraphFont"/>
    <w:link w:val="Heading3"/>
    <w:rsid w:val="00E51F1F"/>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7.xml"/><Relationship Id="rId47" Type="http://schemas.openxmlformats.org/officeDocument/2006/relationships/hyperlink" Target="http://www.aph.gov.au/Parliamentary_Business/Committees/Senate_Committees?url=regord_ctte/index.htm" TargetMode="External"/><Relationship Id="rId50" Type="http://schemas.openxmlformats.org/officeDocument/2006/relationships/header" Target="header19.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13.xml"/><Relationship Id="rId38" Type="http://schemas.openxmlformats.org/officeDocument/2006/relationships/header" Target="header15.xml"/><Relationship Id="rId46" Type="http://schemas.openxmlformats.org/officeDocument/2006/relationships/hyperlink" Target="http://www.aph.gov.au/Parliamentary_Business/Committees/Senate_Committees?url=regord_ctte/alert2012.htm"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2.xml"/><Relationship Id="rId41" Type="http://schemas.openxmlformats.org/officeDocument/2006/relationships/footer" Target="footer18.xml"/><Relationship Id="rId54"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oter" Target="footer17.xml"/><Relationship Id="rId45" Type="http://schemas.openxmlformats.org/officeDocument/2006/relationships/hyperlink" Target="http://www.comlaw.gov.au/Details/C2012C00041" TargetMode="External"/><Relationship Id="rId53"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header" Target="header14.xml"/><Relationship Id="rId49" Type="http://schemas.openxmlformats.org/officeDocument/2006/relationships/header" Target="header1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4" Type="http://schemas.openxmlformats.org/officeDocument/2006/relationships/hyperlink" Target="http://www.aph.gov.au/Parliamentary_Business/Committees/Senate_Committees?url=regord_ctte/guidelines.htm" TargetMode="External"/><Relationship Id="rId52"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yperlink" Target="mailto:RegOrds.Sen@aph.gov.au"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0.xm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Committees/Senate/Regulations_and_Ordinances/Monitor" TargetMode="External"/><Relationship Id="rId2" Type="http://schemas.openxmlformats.org/officeDocument/2006/relationships/hyperlink" Target="http://www.aph.gov.au/Parliamentary_Business/Bills_Legislation/leginstruments/Senate_Disallowable_Instruments_List" TargetMode="External"/><Relationship Id="rId1" Type="http://schemas.openxmlformats.org/officeDocument/2006/relationships/hyperlink" Target="http://www.comlaw.gov.au" TargetMode="External"/><Relationship Id="rId4" Type="http://schemas.openxmlformats.org/officeDocument/2006/relationships/hyperlink" Target="http://www.aph.gov.au/Parliamentary_Business/Committees/Senate/Regulations_and_Ordinances/Moni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28</Pages>
  <Words>6793</Words>
  <Characters>39546</Characters>
  <Application>Microsoft Office Word</Application>
  <DocSecurity>0</DocSecurity>
  <Lines>1198</Lines>
  <Paragraphs>392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2014-10-01T02:31:00Z</dcterms:created>
  <dcterms:modified xsi:type="dcterms:W3CDTF">2014-10-01T02:31:00Z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